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343C390C"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53488">
        <w:rPr>
          <w:bCs w:val="0"/>
          <w:sz w:val="28"/>
        </w:rPr>
        <w:t>8</w:t>
      </w:r>
      <w:r w:rsidR="009C0A94">
        <w:rPr>
          <w:bCs w:val="0"/>
          <w:sz w:val="28"/>
        </w:rPr>
        <w:t>-e</w:t>
      </w:r>
      <w:r w:rsidR="00197EC1" w:rsidRPr="00FC6EBE">
        <w:rPr>
          <w:bCs w:val="0"/>
          <w:sz w:val="28"/>
        </w:rPr>
        <w:tab/>
      </w:r>
      <w:r w:rsidR="0049515D" w:rsidRPr="0049515D">
        <w:rPr>
          <w:bCs w:val="0"/>
          <w:sz w:val="28"/>
        </w:rPr>
        <w:t>R1-</w:t>
      </w:r>
      <w:r w:rsidR="007E49E1" w:rsidRPr="007E49E1">
        <w:rPr>
          <w:bCs w:val="0"/>
          <w:sz w:val="28"/>
        </w:rPr>
        <w:t>2202305</w:t>
      </w:r>
    </w:p>
    <w:p w14:paraId="25D35824" w14:textId="7461E8DC" w:rsidR="00905C7B" w:rsidRPr="00912280" w:rsidRDefault="00905C7B" w:rsidP="00905C7B">
      <w:pPr>
        <w:pStyle w:val="a5"/>
        <w:rPr>
          <w:bCs w:val="0"/>
          <w:sz w:val="28"/>
        </w:rPr>
      </w:pPr>
      <w:r>
        <w:rPr>
          <w:bCs w:val="0"/>
          <w:sz w:val="28"/>
          <w:szCs w:val="24"/>
          <w:lang w:eastAsia="ko-KR"/>
        </w:rPr>
        <w:t xml:space="preserve">e-Meeting, </w:t>
      </w:r>
      <w:r w:rsidR="00A53488">
        <w:rPr>
          <w:rFonts w:hint="eastAsia"/>
          <w:bCs w:val="0"/>
          <w:sz w:val="28"/>
          <w:szCs w:val="24"/>
          <w:lang w:eastAsia="ko-KR"/>
        </w:rPr>
        <w:t>February</w:t>
      </w:r>
      <w:r>
        <w:rPr>
          <w:bCs w:val="0"/>
          <w:sz w:val="28"/>
          <w:szCs w:val="24"/>
          <w:lang w:eastAsia="ko-KR"/>
        </w:rPr>
        <w:t xml:space="preserve"> </w:t>
      </w:r>
      <w:r w:rsidR="00A53488">
        <w:rPr>
          <w:bCs w:val="0"/>
          <w:sz w:val="28"/>
          <w:szCs w:val="24"/>
          <w:lang w:eastAsia="ko-KR"/>
        </w:rPr>
        <w:t>2</w:t>
      </w:r>
      <w:r>
        <w:rPr>
          <w:bCs w:val="0"/>
          <w:sz w:val="28"/>
          <w:szCs w:val="24"/>
          <w:lang w:eastAsia="ko-KR"/>
        </w:rPr>
        <w:t>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xml:space="preserve">– </w:t>
      </w:r>
      <w:r w:rsidR="00A53488">
        <w:rPr>
          <w:bCs w:val="0"/>
          <w:sz w:val="28"/>
          <w:szCs w:val="24"/>
          <w:lang w:eastAsia="ko-KR"/>
        </w:rPr>
        <w:t>March 3</w:t>
      </w:r>
      <w:r w:rsidR="00A53488">
        <w:rPr>
          <w:bCs w:val="0"/>
          <w:sz w:val="28"/>
          <w:szCs w:val="24"/>
          <w:vertAlign w:val="superscript"/>
          <w:lang w:eastAsia="ko-KR"/>
        </w:rPr>
        <w:t>rd</w:t>
      </w:r>
      <w:r w:rsidR="00A53488">
        <w:rPr>
          <w:bCs w:val="0"/>
          <w:sz w:val="28"/>
          <w:szCs w:val="24"/>
          <w:lang w:eastAsia="ko-KR"/>
        </w:rPr>
        <w:t>, 2022</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479B4641" w14:textId="0426551D" w:rsidR="00B51D40" w:rsidRDefault="00B51D40" w:rsidP="00DF0646">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this contribution, we discuss remaining aspects on resource multiplexing enhancement between child and parent link of an IAB</w:t>
      </w:r>
      <w:r w:rsidR="00E049DF">
        <w:rPr>
          <w:rFonts w:eastAsia="바탕"/>
          <w:szCs w:val="22"/>
          <w:lang w:val="en-US" w:eastAsia="ko-KR"/>
        </w:rPr>
        <w:t xml:space="preserve"> </w:t>
      </w:r>
      <w:r>
        <w:rPr>
          <w:rFonts w:eastAsia="바탕"/>
          <w:szCs w:val="22"/>
          <w:lang w:val="en-US" w:eastAsia="ko-KR"/>
        </w:rPr>
        <w:t>node.</w:t>
      </w:r>
    </w:p>
    <w:p w14:paraId="0419C0AD" w14:textId="77777777" w:rsidR="00DF0646" w:rsidRPr="007C3170" w:rsidRDefault="00DF0646" w:rsidP="00DF0646">
      <w:pPr>
        <w:rPr>
          <w:rFonts w:eastAsia="바탕"/>
          <w:szCs w:val="22"/>
          <w:lang w:val="en-US" w:eastAsia="ko-KR"/>
        </w:rPr>
      </w:pPr>
    </w:p>
    <w:p w14:paraId="542BB8BA" w14:textId="09C57997" w:rsidR="00566BA5" w:rsidRDefault="00B51D40" w:rsidP="00116A51">
      <w:pPr>
        <w:pStyle w:val="1"/>
      </w:pPr>
      <w:r>
        <w:t>Discussion</w:t>
      </w:r>
    </w:p>
    <w:p w14:paraId="6454717F" w14:textId="694BAFB2" w:rsidR="00AE6D29" w:rsidRPr="0024213D" w:rsidRDefault="00B51D40" w:rsidP="0024213D">
      <w:pPr>
        <w:pStyle w:val="2"/>
        <w:numPr>
          <w:ilvl w:val="0"/>
          <w:numId w:val="0"/>
        </w:numPr>
        <w:rPr>
          <w:rFonts w:ascii="Times New Roman" w:eastAsia="바탕" w:hAnsi="Times New Roman"/>
          <w:b/>
          <w:sz w:val="22"/>
          <w:szCs w:val="22"/>
          <w:u w:val="single"/>
        </w:rPr>
      </w:pPr>
      <w:r w:rsidRPr="0024213D">
        <w:rPr>
          <w:rFonts w:ascii="Times New Roman" w:eastAsia="바탕" w:hAnsi="Times New Roman"/>
          <w:b/>
          <w:sz w:val="22"/>
          <w:szCs w:val="22"/>
          <w:u w:val="single"/>
        </w:rPr>
        <w:t>Application of time and frequency domain H/S/NA configuration</w:t>
      </w:r>
      <w:r w:rsidR="00AE6D29" w:rsidRPr="0024213D">
        <w:rPr>
          <w:rFonts w:ascii="Times New Roman" w:eastAsia="바탕" w:hAnsi="Times New Roman" w:hint="eastAsia"/>
          <w:b/>
          <w:sz w:val="22"/>
          <w:szCs w:val="22"/>
          <w:u w:val="single"/>
        </w:rPr>
        <w:t xml:space="preserve"> </w:t>
      </w:r>
      <w:r w:rsidR="00AE6D29" w:rsidRPr="0024213D">
        <w:rPr>
          <w:rFonts w:ascii="Times New Roman" w:eastAsia="바탕" w:hAnsi="Times New Roman"/>
          <w:b/>
          <w:sz w:val="22"/>
          <w:szCs w:val="22"/>
          <w:u w:val="single"/>
        </w:rPr>
        <w:t>operation</w:t>
      </w:r>
      <w:r w:rsidR="00AE6D29" w:rsidRPr="0024213D">
        <w:rPr>
          <w:rFonts w:ascii="Times New Roman" w:eastAsia="바탕" w:hAnsi="Times New Roman" w:hint="eastAsia"/>
          <w:b/>
          <w:sz w:val="22"/>
          <w:szCs w:val="22"/>
          <w:u w:val="single"/>
        </w:rPr>
        <w:t xml:space="preserve"> </w:t>
      </w:r>
    </w:p>
    <w:p w14:paraId="2A98F9CA" w14:textId="4B01B121" w:rsidR="003C7300" w:rsidRDefault="003C7300" w:rsidP="00FB491D">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RAN1#106bis meeting, following working assumption was made on the application of the Rel-16 time domain H/S/NA configuration and Rel-17 frequency domain H/S/NA configuration</w:t>
      </w:r>
      <w:r w:rsidR="00947EA1">
        <w:rPr>
          <w:rFonts w:eastAsia="바탕"/>
          <w:szCs w:val="22"/>
          <w:lang w:val="en-US" w:eastAsia="ko-KR"/>
        </w:rPr>
        <w:t xml:space="preserve"> [1]</w:t>
      </w:r>
      <w:r>
        <w:rPr>
          <w:rFonts w:eastAsia="바탕"/>
          <w:szCs w:val="22"/>
          <w:lang w:val="en-US" w:eastAsia="ko-KR"/>
        </w:rPr>
        <w:t>.</w:t>
      </w:r>
    </w:p>
    <w:p w14:paraId="40256B66" w14:textId="162A631C" w:rsidR="00AD46FC" w:rsidRDefault="00AD46FC" w:rsidP="00AD46FC">
      <w:pPr>
        <w:rPr>
          <w:rFonts w:eastAsia="바탕"/>
          <w:szCs w:val="22"/>
          <w:lang w:val="en-US" w:eastAsia="ko-KR"/>
        </w:rPr>
      </w:pPr>
      <w:r w:rsidRPr="001A1844">
        <w:rPr>
          <w:rFonts w:eastAsia="바탕"/>
          <w:szCs w:val="22"/>
          <w:lang w:val="en-US" w:eastAsia="ko-KR"/>
        </w:rPr>
        <w:t xml:space="preserve">According to the working assumption, </w:t>
      </w:r>
      <w:r>
        <w:rPr>
          <w:rFonts w:eastAsia="바탕"/>
          <w:szCs w:val="22"/>
          <w:lang w:val="en-US" w:eastAsia="ko-KR"/>
        </w:rPr>
        <w:t>i</w:t>
      </w:r>
      <w:r w:rsidRPr="001A1844">
        <w:rPr>
          <w:rFonts w:eastAsia="바탕"/>
          <w:szCs w:val="22"/>
          <w:lang w:val="en-US" w:eastAsia="ko-KR"/>
        </w:rPr>
        <w:t>f both the Rel-16 time domain H/S/NA configuration and Rel-17 frequency domain H/S/NA configuration are provided for a given RB set within a slot</w:t>
      </w:r>
      <w:r>
        <w:rPr>
          <w:rFonts w:eastAsia="바탕"/>
          <w:szCs w:val="22"/>
          <w:lang w:val="en-US" w:eastAsia="ko-KR"/>
        </w:rPr>
        <w:t xml:space="preserve">, </w:t>
      </w:r>
      <w:r w:rsidR="00694915">
        <w:rPr>
          <w:rFonts w:eastAsia="바탕"/>
          <w:szCs w:val="22"/>
          <w:lang w:val="en-US" w:eastAsia="ko-KR"/>
        </w:rPr>
        <w:t xml:space="preserve">which of </w:t>
      </w:r>
      <w:r w:rsidRPr="001A1844">
        <w:rPr>
          <w:rFonts w:eastAsia="바탕"/>
          <w:szCs w:val="22"/>
          <w:lang w:val="en-US" w:eastAsia="ko-KR"/>
        </w:rPr>
        <w:t xml:space="preserve">the H/S/NA configuration </w:t>
      </w:r>
      <w:r w:rsidR="00694915">
        <w:rPr>
          <w:rFonts w:eastAsia="바탕"/>
          <w:szCs w:val="22"/>
          <w:lang w:val="en-US" w:eastAsia="ko-KR"/>
        </w:rPr>
        <w:t xml:space="preserve">is </w:t>
      </w:r>
      <w:r w:rsidRPr="001A1844">
        <w:rPr>
          <w:rFonts w:eastAsia="바탕"/>
          <w:szCs w:val="22"/>
          <w:lang w:val="en-US" w:eastAsia="ko-KR"/>
        </w:rPr>
        <w:t xml:space="preserve">applied to the IAB-node </w:t>
      </w:r>
      <w:r>
        <w:rPr>
          <w:rFonts w:eastAsia="바탕" w:hint="eastAsia"/>
          <w:szCs w:val="22"/>
          <w:lang w:val="en-US" w:eastAsia="ko-KR"/>
        </w:rPr>
        <w:t xml:space="preserve">is </w:t>
      </w:r>
      <w:r>
        <w:rPr>
          <w:rFonts w:eastAsia="바탕"/>
          <w:szCs w:val="22"/>
          <w:lang w:val="en-US" w:eastAsia="ko-KR"/>
        </w:rPr>
        <w:t xml:space="preserve">determined </w:t>
      </w:r>
      <w:r w:rsidRPr="001A1844">
        <w:rPr>
          <w:rFonts w:eastAsia="바탕"/>
          <w:szCs w:val="22"/>
          <w:lang w:val="en-US" w:eastAsia="ko-KR"/>
        </w:rPr>
        <w:t xml:space="preserve">according to the TDM/non-TDM multiplexing mode in which the IAB node currently operates. However, there is ambiguity in the currently operating TDM/non-TDM multiplexing mode of IAB-node, so </w:t>
      </w:r>
      <w:r>
        <w:rPr>
          <w:rFonts w:eastAsia="바탕"/>
          <w:szCs w:val="22"/>
          <w:lang w:val="en-US" w:eastAsia="ko-KR"/>
        </w:rPr>
        <w:t xml:space="preserve">further </w:t>
      </w:r>
      <w:r w:rsidRPr="001A1844">
        <w:rPr>
          <w:rFonts w:eastAsia="바탕"/>
          <w:szCs w:val="22"/>
          <w:lang w:val="en-US" w:eastAsia="ko-KR"/>
        </w:rPr>
        <w:t xml:space="preserve">clarification </w:t>
      </w:r>
      <w:r>
        <w:rPr>
          <w:rFonts w:eastAsia="바탕"/>
          <w:szCs w:val="22"/>
          <w:lang w:val="en-US" w:eastAsia="ko-KR"/>
        </w:rPr>
        <w:t>seems necessary.</w:t>
      </w:r>
    </w:p>
    <w:p w14:paraId="7695F527" w14:textId="77777777" w:rsidR="00AD46FC" w:rsidRDefault="00AD46FC" w:rsidP="00AD46FC">
      <w:pPr>
        <w:rPr>
          <w:rFonts w:eastAsia="바탕"/>
          <w:szCs w:val="22"/>
          <w:lang w:val="en-US" w:eastAsia="ko-KR"/>
        </w:rPr>
      </w:pPr>
      <w:r w:rsidRPr="001A1844">
        <w:rPr>
          <w:rFonts w:eastAsia="바탕"/>
          <w:szCs w:val="22"/>
          <w:lang w:val="en-US" w:eastAsia="ko-KR"/>
        </w:rPr>
        <w:t>In order for the parent node to determine the operation resource of the IAB</w:t>
      </w:r>
      <w:r>
        <w:rPr>
          <w:rFonts w:eastAsia="바탕"/>
          <w:szCs w:val="22"/>
          <w:lang w:val="en-US" w:eastAsia="ko-KR"/>
        </w:rPr>
        <w:t xml:space="preserve"> </w:t>
      </w:r>
      <w:r w:rsidRPr="001A1844">
        <w:rPr>
          <w:rFonts w:eastAsia="바탕"/>
          <w:szCs w:val="22"/>
          <w:lang w:val="en-US" w:eastAsia="ko-KR"/>
        </w:rPr>
        <w:t xml:space="preserve">node, </w:t>
      </w:r>
      <w:r>
        <w:rPr>
          <w:rFonts w:eastAsia="바탕"/>
          <w:szCs w:val="22"/>
          <w:lang w:val="en-US" w:eastAsia="ko-KR"/>
        </w:rPr>
        <w:t xml:space="preserve">the understanding on the applied TDM/non-TDM multiplexing mode of the IAB node should be aligned between the IAB node and its </w:t>
      </w:r>
      <w:proofErr w:type="gramStart"/>
      <w:r>
        <w:rPr>
          <w:rFonts w:eastAsia="바탕"/>
          <w:szCs w:val="22"/>
          <w:lang w:val="en-US" w:eastAsia="ko-KR"/>
        </w:rPr>
        <w:t>parent</w:t>
      </w:r>
      <w:proofErr w:type="gramEnd"/>
      <w:r>
        <w:rPr>
          <w:rFonts w:eastAsia="바탕"/>
          <w:szCs w:val="22"/>
          <w:lang w:val="en-US" w:eastAsia="ko-KR"/>
        </w:rPr>
        <w:t xml:space="preserve"> node. However, according to the current specification, parent node does not know the applied TDM/non-TDM multiplexing mode at the IAB node, thus it is difficult for the parent node to determine the applied H/S/NA configuration at the IAB node.</w:t>
      </w:r>
    </w:p>
    <w:p w14:paraId="030819FD" w14:textId="77777777" w:rsidR="00AD46FC" w:rsidRDefault="00AD46FC" w:rsidP="00FB491D">
      <w:pPr>
        <w:rPr>
          <w:rFonts w:eastAsia="바탕"/>
          <w:szCs w:val="22"/>
          <w:lang w:val="en-US" w:eastAsia="ko-KR"/>
        </w:rPr>
      </w:pPr>
    </w:p>
    <w:tbl>
      <w:tblPr>
        <w:tblStyle w:val="aa"/>
        <w:tblW w:w="0" w:type="auto"/>
        <w:tblLook w:val="04A0" w:firstRow="1" w:lastRow="0" w:firstColumn="1" w:lastColumn="0" w:noHBand="0" w:noVBand="1"/>
      </w:tblPr>
      <w:tblGrid>
        <w:gridCol w:w="9629"/>
      </w:tblGrid>
      <w:tr w:rsidR="003C7300" w14:paraId="08B98C73" w14:textId="77777777" w:rsidTr="003C7300">
        <w:tc>
          <w:tcPr>
            <w:tcW w:w="9629" w:type="dxa"/>
          </w:tcPr>
          <w:p w14:paraId="6742D3A2" w14:textId="77777777" w:rsidR="003C7300" w:rsidRPr="005624D4" w:rsidRDefault="003C7300" w:rsidP="003C7300">
            <w:pPr>
              <w:overflowPunct/>
              <w:autoSpaceDE/>
              <w:autoSpaceDN/>
              <w:adjustRightInd/>
              <w:spacing w:after="0"/>
              <w:jc w:val="left"/>
              <w:textAlignment w:val="auto"/>
              <w:rPr>
                <w:rFonts w:ascii="Times" w:eastAsia="바탕" w:hAnsi="Times" w:cs="Times"/>
                <w:b/>
                <w:sz w:val="20"/>
                <w:highlight w:val="darkYellow"/>
                <w:lang w:eastAsia="en-US"/>
              </w:rPr>
            </w:pPr>
            <w:r w:rsidRPr="005624D4">
              <w:rPr>
                <w:rFonts w:ascii="Times" w:eastAsia="바탕" w:hAnsi="Times" w:cs="Times"/>
                <w:b/>
                <w:sz w:val="20"/>
                <w:highlight w:val="darkYellow"/>
                <w:lang w:eastAsia="en-US"/>
              </w:rPr>
              <w:t>Working Assumption</w:t>
            </w:r>
          </w:p>
          <w:p w14:paraId="09BDE6F0" w14:textId="77777777" w:rsidR="003C7300" w:rsidRPr="005624D4" w:rsidRDefault="003C7300" w:rsidP="003C7300">
            <w:pPr>
              <w:overflowPunct/>
              <w:autoSpaceDE/>
              <w:autoSpaceDN/>
              <w:adjustRightInd/>
              <w:spacing w:after="0"/>
              <w:jc w:val="left"/>
              <w:textAlignment w:val="auto"/>
              <w:rPr>
                <w:rFonts w:ascii="Times" w:eastAsia="바탕" w:hAnsi="Times" w:cs="Times"/>
                <w:bCs/>
                <w:sz w:val="20"/>
                <w:lang w:eastAsia="en-US"/>
              </w:rPr>
            </w:pPr>
            <w:r w:rsidRPr="005624D4">
              <w:rPr>
                <w:rFonts w:ascii="Times" w:eastAsia="바탕" w:hAnsi="Times" w:cs="Times"/>
                <w:bCs/>
                <w:sz w:val="20"/>
                <w:lang w:eastAsia="en-US"/>
              </w:rPr>
              <w:t>If both the Rel-16 time domain H/S/NA configuration and Rel-17 frequency domain H/S/NA configuration are provided for a given RB set within a slot, one of the following is selected:</w:t>
            </w:r>
          </w:p>
          <w:p w14:paraId="463F62AE" w14:textId="2D29DADC" w:rsidR="003C7300" w:rsidRPr="003C7300" w:rsidRDefault="003C7300" w:rsidP="00FB491D">
            <w:pPr>
              <w:numPr>
                <w:ilvl w:val="0"/>
                <w:numId w:val="31"/>
              </w:numPr>
              <w:overflowPunct/>
              <w:autoSpaceDE/>
              <w:autoSpaceDN/>
              <w:adjustRightInd/>
              <w:spacing w:after="0"/>
              <w:contextualSpacing/>
              <w:jc w:val="left"/>
              <w:textAlignment w:val="auto"/>
              <w:rPr>
                <w:rFonts w:ascii="Times" w:eastAsia="바탕" w:hAnsi="Times" w:cs="Times"/>
                <w:i/>
                <w:sz w:val="20"/>
                <w:lang w:eastAsia="x-none"/>
              </w:rPr>
            </w:pPr>
            <w:r w:rsidRPr="005624D4">
              <w:rPr>
                <w:rFonts w:ascii="Times" w:eastAsia="Calibri" w:hAnsi="Times" w:cs="Times"/>
                <w:bCs/>
                <w:sz w:val="20"/>
                <w:lang w:eastAsia="x-none"/>
              </w:rPr>
              <w:t xml:space="preserve">Alt. 1: An IAB node applies the frequency domain H/S/NA only if the IAB node is currently operating in a non-TDM multiplexing mode </w:t>
            </w:r>
            <w:r w:rsidRPr="005624D4">
              <w:rPr>
                <w:rFonts w:ascii="Times" w:eastAsia="Calibri" w:hAnsi="Times" w:cs="Times"/>
                <w:bCs/>
                <w:color w:val="000000"/>
                <w:sz w:val="20"/>
                <w:lang w:eastAsia="x-none"/>
              </w:rPr>
              <w:t>in the slot</w:t>
            </w:r>
            <w:r w:rsidRPr="005624D4">
              <w:rPr>
                <w:rFonts w:ascii="Times" w:eastAsia="Calibri" w:hAnsi="Times" w:cs="Times"/>
                <w:bCs/>
                <w:sz w:val="20"/>
                <w:lang w:eastAsia="x-none"/>
              </w:rPr>
              <w:t>, otherwise the Rel-16 time domain H/S/NA configuration is applied.</w:t>
            </w:r>
          </w:p>
        </w:tc>
      </w:tr>
    </w:tbl>
    <w:p w14:paraId="2A6F1868" w14:textId="77777777" w:rsidR="00AD46FC" w:rsidRDefault="00AD46FC" w:rsidP="00FB491D">
      <w:pPr>
        <w:rPr>
          <w:rFonts w:eastAsia="바탕"/>
          <w:szCs w:val="22"/>
          <w:lang w:val="en-US" w:eastAsia="ko-KR"/>
        </w:rPr>
      </w:pPr>
    </w:p>
    <w:p w14:paraId="4334E07F" w14:textId="10389D69" w:rsidR="000A4312" w:rsidRPr="00BE19DB" w:rsidRDefault="00BE0C8A" w:rsidP="00FB491D">
      <w:pPr>
        <w:rPr>
          <w:rFonts w:eastAsia="바탕"/>
          <w:szCs w:val="22"/>
          <w:lang w:val="en-US" w:eastAsia="ko-KR"/>
        </w:rPr>
      </w:pPr>
      <w:r w:rsidRPr="00BE0C8A">
        <w:rPr>
          <w:rFonts w:eastAsia="바탕"/>
          <w:szCs w:val="22"/>
          <w:lang w:val="en-US" w:eastAsia="ko-KR"/>
        </w:rPr>
        <w:t>In order to allow the parent node to accurately determine the H/S/NA configuration</w:t>
      </w:r>
      <w:r w:rsidR="00651A56">
        <w:rPr>
          <w:rFonts w:eastAsia="바탕"/>
          <w:szCs w:val="22"/>
          <w:lang w:val="en-US" w:eastAsia="ko-KR"/>
        </w:rPr>
        <w:t>, i.e., without misunderstanding between the parent node and the IAB node,</w:t>
      </w:r>
      <w:r w:rsidRPr="00BE0C8A">
        <w:rPr>
          <w:rFonts w:eastAsia="바탕"/>
          <w:szCs w:val="22"/>
          <w:lang w:val="en-US" w:eastAsia="ko-KR"/>
        </w:rPr>
        <w:t xml:space="preserve"> applied to the IAB node while following the working assumption, the following method can be considered.</w:t>
      </w:r>
      <w:r w:rsidR="00055FA4">
        <w:rPr>
          <w:rFonts w:eastAsia="바탕"/>
          <w:szCs w:val="22"/>
          <w:lang w:val="en-US" w:eastAsia="ko-KR"/>
        </w:rPr>
        <w:t xml:space="preserve"> </w:t>
      </w:r>
    </w:p>
    <w:p w14:paraId="2979BB6C" w14:textId="0D42B08C" w:rsidR="004149B8" w:rsidRDefault="00EB094B" w:rsidP="003C7300">
      <w:pPr>
        <w:rPr>
          <w:rFonts w:eastAsia="바탕"/>
          <w:szCs w:val="22"/>
          <w:lang w:val="en-US" w:eastAsia="ko-KR"/>
        </w:rPr>
      </w:pPr>
      <w:r w:rsidRPr="00EB094B">
        <w:rPr>
          <w:rFonts w:eastAsia="바탕"/>
          <w:szCs w:val="22"/>
          <w:lang w:val="en-US" w:eastAsia="ko-KR"/>
        </w:rPr>
        <w:t xml:space="preserve">First, it may be considered that the parent node </w:t>
      </w:r>
      <w:r>
        <w:rPr>
          <w:rFonts w:eastAsia="바탕"/>
          <w:szCs w:val="22"/>
          <w:lang w:val="en-US" w:eastAsia="ko-KR"/>
        </w:rPr>
        <w:t xml:space="preserve">configures </w:t>
      </w:r>
      <w:r w:rsidRPr="00EB094B">
        <w:rPr>
          <w:rFonts w:eastAsia="바탕"/>
          <w:szCs w:val="22"/>
          <w:lang w:val="en-US" w:eastAsia="ko-KR"/>
        </w:rPr>
        <w:t xml:space="preserve">the TDM/non-TDM multiplexing mode </w:t>
      </w:r>
      <w:r w:rsidR="004149B8">
        <w:rPr>
          <w:rFonts w:eastAsia="바탕"/>
          <w:szCs w:val="22"/>
          <w:lang w:val="en-US" w:eastAsia="ko-KR"/>
        </w:rPr>
        <w:t xml:space="preserve">in each slot </w:t>
      </w:r>
      <w:r w:rsidRPr="00EB094B">
        <w:rPr>
          <w:rFonts w:eastAsia="바탕"/>
          <w:szCs w:val="22"/>
          <w:lang w:val="en-US" w:eastAsia="ko-KR"/>
        </w:rPr>
        <w:t>of the IAB node, and</w:t>
      </w:r>
      <w:r>
        <w:rPr>
          <w:rFonts w:eastAsia="바탕"/>
          <w:szCs w:val="22"/>
          <w:lang w:val="en-US" w:eastAsia="ko-KR"/>
        </w:rPr>
        <w:t xml:space="preserve"> the IAB node</w:t>
      </w:r>
      <w:r w:rsidRPr="00EB094B">
        <w:rPr>
          <w:rFonts w:eastAsia="바탕"/>
          <w:szCs w:val="22"/>
          <w:lang w:val="en-US" w:eastAsia="ko-KR"/>
        </w:rPr>
        <w:t xml:space="preserve"> determines the </w:t>
      </w:r>
      <w:r>
        <w:rPr>
          <w:rFonts w:eastAsia="바탕"/>
          <w:szCs w:val="22"/>
          <w:lang w:val="en-US" w:eastAsia="ko-KR"/>
        </w:rPr>
        <w:t xml:space="preserve">applied </w:t>
      </w:r>
      <w:r w:rsidRPr="00EB094B">
        <w:rPr>
          <w:rFonts w:eastAsia="바탕"/>
          <w:szCs w:val="22"/>
          <w:lang w:val="en-US" w:eastAsia="ko-KR"/>
        </w:rPr>
        <w:t xml:space="preserve">H/S/NA configuration </w:t>
      </w:r>
      <w:r>
        <w:rPr>
          <w:rFonts w:eastAsia="바탕"/>
          <w:szCs w:val="22"/>
          <w:lang w:val="en-US" w:eastAsia="ko-KR"/>
        </w:rPr>
        <w:t xml:space="preserve">based on the </w:t>
      </w:r>
      <w:r w:rsidRPr="00EB094B">
        <w:rPr>
          <w:rFonts w:eastAsia="바탕"/>
          <w:szCs w:val="22"/>
          <w:lang w:val="en-US" w:eastAsia="ko-KR"/>
        </w:rPr>
        <w:t xml:space="preserve">corresponding TDM/non-TDM configuration. This </w:t>
      </w:r>
      <w:r w:rsidR="005A3F94">
        <w:rPr>
          <w:rFonts w:eastAsia="바탕"/>
          <w:szCs w:val="22"/>
          <w:lang w:val="en-US" w:eastAsia="ko-KR"/>
        </w:rPr>
        <w:t xml:space="preserve">methodology </w:t>
      </w:r>
      <w:r w:rsidRPr="00EB094B">
        <w:rPr>
          <w:rFonts w:eastAsia="바탕"/>
          <w:szCs w:val="22"/>
          <w:lang w:val="en-US" w:eastAsia="ko-KR"/>
        </w:rPr>
        <w:t>has the advantage that the parent node can control the H/S/NA configuration applied to the IAB node</w:t>
      </w:r>
      <w:r w:rsidR="005A3F94">
        <w:rPr>
          <w:rFonts w:eastAsia="바탕"/>
          <w:szCs w:val="22"/>
          <w:lang w:val="en-US" w:eastAsia="ko-KR"/>
        </w:rPr>
        <w:t xml:space="preserve"> with full flexibility</w:t>
      </w:r>
      <w:r w:rsidRPr="00EB094B">
        <w:rPr>
          <w:rFonts w:eastAsia="바탕"/>
          <w:szCs w:val="22"/>
          <w:lang w:val="en-US" w:eastAsia="ko-KR"/>
        </w:rPr>
        <w:t xml:space="preserve">. However, </w:t>
      </w:r>
      <w:r w:rsidR="004149B8">
        <w:rPr>
          <w:rFonts w:eastAsia="바탕"/>
          <w:szCs w:val="22"/>
          <w:lang w:val="en-US" w:eastAsia="ko-KR"/>
        </w:rPr>
        <w:t>configuration latency issue</w:t>
      </w:r>
      <w:r w:rsidR="005A3F94">
        <w:rPr>
          <w:rFonts w:eastAsia="바탕"/>
          <w:szCs w:val="22"/>
          <w:lang w:val="en-US" w:eastAsia="ko-KR"/>
        </w:rPr>
        <w:t xml:space="preserve"> may occur</w:t>
      </w:r>
      <w:r w:rsidR="004149B8">
        <w:rPr>
          <w:rFonts w:eastAsia="바탕"/>
          <w:szCs w:val="22"/>
          <w:lang w:val="en-US" w:eastAsia="ko-KR"/>
        </w:rPr>
        <w:t xml:space="preserve">. If </w:t>
      </w:r>
      <w:r w:rsidR="004149B8" w:rsidRPr="00EB094B">
        <w:rPr>
          <w:rFonts w:eastAsia="바탕"/>
          <w:szCs w:val="22"/>
          <w:lang w:val="en-US" w:eastAsia="ko-KR"/>
        </w:rPr>
        <w:t>the TDM/non-TDM multiplexing mode of the IAB node</w:t>
      </w:r>
      <w:r w:rsidR="004149B8">
        <w:rPr>
          <w:rFonts w:eastAsia="바탕"/>
          <w:szCs w:val="22"/>
          <w:lang w:val="en-US" w:eastAsia="ko-KR"/>
        </w:rPr>
        <w:t xml:space="preserve"> is configured by its parent node, the IAB node determines </w:t>
      </w:r>
      <w:r w:rsidR="004149B8" w:rsidRPr="00EB094B">
        <w:rPr>
          <w:rFonts w:eastAsia="바탕"/>
          <w:szCs w:val="22"/>
          <w:lang w:val="en-US" w:eastAsia="ko-KR"/>
        </w:rPr>
        <w:t>non-TDM-operable resource</w:t>
      </w:r>
      <w:r w:rsidR="004149B8">
        <w:rPr>
          <w:rFonts w:eastAsia="바탕"/>
          <w:szCs w:val="22"/>
          <w:lang w:val="en-US" w:eastAsia="ko-KR"/>
        </w:rPr>
        <w:t>s from the configuration. Then, the IAB node may determine</w:t>
      </w:r>
      <w:r w:rsidR="004149B8" w:rsidRPr="00EB094B">
        <w:rPr>
          <w:rFonts w:eastAsia="바탕"/>
          <w:szCs w:val="22"/>
          <w:lang w:val="en-US" w:eastAsia="ko-KR"/>
        </w:rPr>
        <w:t xml:space="preserve"> slot</w:t>
      </w:r>
      <w:r w:rsidR="004149B8">
        <w:rPr>
          <w:rFonts w:eastAsia="바탕"/>
          <w:szCs w:val="22"/>
          <w:lang w:val="en-US" w:eastAsia="ko-KR"/>
        </w:rPr>
        <w:t xml:space="preserve"> resources</w:t>
      </w:r>
      <w:r w:rsidR="004149B8" w:rsidRPr="00EB094B">
        <w:rPr>
          <w:rFonts w:eastAsia="바탕"/>
          <w:szCs w:val="22"/>
          <w:lang w:val="en-US" w:eastAsia="ko-KR"/>
        </w:rPr>
        <w:t xml:space="preserve"> to which Case 7 is applied within the resource, and </w:t>
      </w:r>
      <w:r w:rsidR="004149B8">
        <w:rPr>
          <w:rFonts w:eastAsia="바탕"/>
          <w:szCs w:val="22"/>
          <w:lang w:val="en-US" w:eastAsia="ko-KR"/>
        </w:rPr>
        <w:t>configures</w:t>
      </w:r>
      <w:r w:rsidR="004149B8" w:rsidRPr="00EB094B">
        <w:rPr>
          <w:rFonts w:eastAsia="바탕"/>
          <w:szCs w:val="22"/>
          <w:lang w:val="en-US" w:eastAsia="ko-KR"/>
        </w:rPr>
        <w:t xml:space="preserve"> a Timing Case Indication MAC CE to </w:t>
      </w:r>
      <w:r w:rsidR="004149B8">
        <w:rPr>
          <w:rFonts w:eastAsia="바탕"/>
          <w:szCs w:val="22"/>
          <w:lang w:val="en-US" w:eastAsia="ko-KR"/>
        </w:rPr>
        <w:t>its</w:t>
      </w:r>
      <w:r w:rsidR="004149B8" w:rsidRPr="00EB094B">
        <w:rPr>
          <w:rFonts w:eastAsia="바탕"/>
          <w:szCs w:val="22"/>
          <w:lang w:val="en-US" w:eastAsia="ko-KR"/>
        </w:rPr>
        <w:t xml:space="preserve"> child MT.</w:t>
      </w:r>
      <w:r w:rsidR="004149B8" w:rsidRPr="004149B8">
        <w:rPr>
          <w:rFonts w:eastAsia="바탕"/>
          <w:szCs w:val="22"/>
          <w:lang w:val="en-US" w:eastAsia="ko-KR"/>
        </w:rPr>
        <w:t xml:space="preserve"> </w:t>
      </w:r>
      <w:r w:rsidR="004149B8">
        <w:rPr>
          <w:rFonts w:eastAsia="바탕"/>
          <w:szCs w:val="22"/>
          <w:lang w:val="en-US" w:eastAsia="ko-KR"/>
        </w:rPr>
        <w:t>I</w:t>
      </w:r>
      <w:r w:rsidR="004149B8" w:rsidRPr="00EB094B">
        <w:rPr>
          <w:rFonts w:eastAsia="바탕"/>
          <w:szCs w:val="22"/>
          <w:lang w:val="en-US" w:eastAsia="ko-KR"/>
        </w:rPr>
        <w:t xml:space="preserve">n this case, </w:t>
      </w:r>
      <w:r w:rsidR="004149B8">
        <w:rPr>
          <w:rFonts w:eastAsia="바탕"/>
          <w:szCs w:val="22"/>
          <w:lang w:val="en-US" w:eastAsia="ko-KR"/>
        </w:rPr>
        <w:t>considering the</w:t>
      </w:r>
      <w:r w:rsidR="004149B8" w:rsidRPr="00EB094B">
        <w:rPr>
          <w:rFonts w:eastAsia="바탕"/>
          <w:szCs w:val="22"/>
          <w:lang w:val="en-US" w:eastAsia="ko-KR"/>
        </w:rPr>
        <w:t xml:space="preserve"> latency </w:t>
      </w:r>
      <w:r w:rsidR="005A3F94">
        <w:rPr>
          <w:rFonts w:eastAsia="바탕"/>
          <w:szCs w:val="22"/>
          <w:lang w:val="en-US" w:eastAsia="ko-KR"/>
        </w:rPr>
        <w:t xml:space="preserve">of </w:t>
      </w:r>
      <w:r w:rsidR="004149B8" w:rsidRPr="00EB094B">
        <w:rPr>
          <w:rFonts w:eastAsia="바탕"/>
          <w:szCs w:val="22"/>
          <w:lang w:val="en-US" w:eastAsia="ko-KR"/>
        </w:rPr>
        <w:t xml:space="preserve">the </w:t>
      </w:r>
      <w:r w:rsidR="005A3F94">
        <w:rPr>
          <w:rFonts w:eastAsia="바탕"/>
          <w:szCs w:val="22"/>
          <w:lang w:val="en-US" w:eastAsia="ko-KR"/>
        </w:rPr>
        <w:t xml:space="preserve">whole </w:t>
      </w:r>
      <w:r w:rsidR="004149B8" w:rsidRPr="00EB094B">
        <w:rPr>
          <w:rFonts w:eastAsia="바탕"/>
          <w:szCs w:val="22"/>
          <w:lang w:val="en-US" w:eastAsia="ko-KR"/>
        </w:rPr>
        <w:t>configuration process</w:t>
      </w:r>
      <w:r w:rsidR="004149B8">
        <w:rPr>
          <w:rFonts w:eastAsia="바탕"/>
          <w:szCs w:val="22"/>
          <w:lang w:val="en-US" w:eastAsia="ko-KR"/>
        </w:rPr>
        <w:t xml:space="preserve">, </w:t>
      </w:r>
      <w:r w:rsidR="005A3F94">
        <w:rPr>
          <w:rFonts w:eastAsia="바탕"/>
          <w:szCs w:val="22"/>
          <w:lang w:val="en-US" w:eastAsia="ko-KR"/>
        </w:rPr>
        <w:t>it</w:t>
      </w:r>
      <w:r w:rsidR="005A3F94" w:rsidRPr="00EB094B">
        <w:rPr>
          <w:rFonts w:eastAsia="바탕"/>
          <w:szCs w:val="22"/>
          <w:lang w:val="en-US" w:eastAsia="ko-KR"/>
        </w:rPr>
        <w:t xml:space="preserve"> </w:t>
      </w:r>
      <w:r w:rsidR="005A3F94">
        <w:rPr>
          <w:rFonts w:eastAsia="바탕"/>
          <w:szCs w:val="22"/>
          <w:lang w:val="en-US" w:eastAsia="ko-KR"/>
        </w:rPr>
        <w:t>could</w:t>
      </w:r>
      <w:r w:rsidR="005A3F94" w:rsidRPr="00EB094B">
        <w:rPr>
          <w:rFonts w:eastAsia="바탕"/>
          <w:szCs w:val="22"/>
          <w:lang w:val="en-US" w:eastAsia="ko-KR"/>
        </w:rPr>
        <w:t xml:space="preserve"> </w:t>
      </w:r>
      <w:r w:rsidR="004149B8" w:rsidRPr="00EB094B">
        <w:rPr>
          <w:rFonts w:eastAsia="바탕"/>
          <w:szCs w:val="22"/>
          <w:lang w:val="en-US" w:eastAsia="ko-KR"/>
        </w:rPr>
        <w:t xml:space="preserve">be a burden </w:t>
      </w:r>
      <w:r w:rsidR="004149B8" w:rsidRPr="00EB094B">
        <w:rPr>
          <w:rFonts w:eastAsia="바탕"/>
          <w:szCs w:val="22"/>
          <w:lang w:val="en-US" w:eastAsia="ko-KR"/>
        </w:rPr>
        <w:lastRenderedPageBreak/>
        <w:t xml:space="preserve">that TDM/non-TDM </w:t>
      </w:r>
      <w:r w:rsidR="004149B8">
        <w:rPr>
          <w:rFonts w:eastAsia="바탕"/>
          <w:szCs w:val="22"/>
          <w:lang w:val="en-US" w:eastAsia="ko-KR"/>
        </w:rPr>
        <w:t>multiplexing mode</w:t>
      </w:r>
      <w:r w:rsidR="004149B8" w:rsidRPr="00EB094B">
        <w:rPr>
          <w:rFonts w:eastAsia="바탕"/>
          <w:szCs w:val="22"/>
          <w:lang w:val="en-US" w:eastAsia="ko-KR"/>
        </w:rPr>
        <w:t xml:space="preserve"> needs to be</w:t>
      </w:r>
      <w:r w:rsidR="004149B8">
        <w:rPr>
          <w:rFonts w:eastAsia="바탕"/>
          <w:szCs w:val="22"/>
          <w:lang w:val="en-US" w:eastAsia="ko-KR"/>
        </w:rPr>
        <w:t xml:space="preserve"> configured</w:t>
      </w:r>
      <w:r w:rsidR="004149B8" w:rsidRPr="00EB094B">
        <w:rPr>
          <w:rFonts w:eastAsia="바탕"/>
          <w:szCs w:val="22"/>
          <w:lang w:val="en-US" w:eastAsia="ko-KR"/>
        </w:rPr>
        <w:t xml:space="preserve"> sufficiently in advance t</w:t>
      </w:r>
      <w:r w:rsidR="004149B8">
        <w:rPr>
          <w:rFonts w:eastAsia="바탕"/>
          <w:szCs w:val="22"/>
          <w:lang w:val="en-US" w:eastAsia="ko-KR"/>
        </w:rPr>
        <w:t>han the actual application time.</w:t>
      </w:r>
    </w:p>
    <w:p w14:paraId="750A92EF" w14:textId="6C59D387" w:rsidR="003B07AE" w:rsidRDefault="003B07AE" w:rsidP="003C7300">
      <w:pPr>
        <w:rPr>
          <w:rFonts w:eastAsia="바탕"/>
          <w:szCs w:val="22"/>
          <w:lang w:val="en-US" w:eastAsia="ko-KR"/>
        </w:rPr>
      </w:pPr>
      <w:r w:rsidRPr="003B07AE">
        <w:rPr>
          <w:rFonts w:eastAsia="바탕"/>
          <w:szCs w:val="22"/>
          <w:lang w:val="en-US" w:eastAsia="ko-KR"/>
        </w:rPr>
        <w:t xml:space="preserve">As another method, it </w:t>
      </w:r>
      <w:r>
        <w:rPr>
          <w:rFonts w:eastAsia="바탕"/>
          <w:szCs w:val="22"/>
          <w:lang w:val="en-US" w:eastAsia="ko-KR"/>
        </w:rPr>
        <w:t xml:space="preserve">can </w:t>
      </w:r>
      <w:r w:rsidRPr="003B07AE">
        <w:rPr>
          <w:rFonts w:eastAsia="바탕"/>
          <w:szCs w:val="22"/>
          <w:lang w:val="en-US" w:eastAsia="ko-KR"/>
        </w:rPr>
        <w:t xml:space="preserve">be considered that the IAB node reports information </w:t>
      </w:r>
      <w:r w:rsidR="00960BC7">
        <w:rPr>
          <w:rFonts w:eastAsia="바탕"/>
          <w:szCs w:val="22"/>
          <w:lang w:val="en-US" w:eastAsia="ko-KR"/>
        </w:rPr>
        <w:t>of</w:t>
      </w:r>
      <w:r w:rsidRPr="003B07AE">
        <w:rPr>
          <w:rFonts w:eastAsia="바탕"/>
          <w:szCs w:val="22"/>
          <w:lang w:val="en-US" w:eastAsia="ko-KR"/>
        </w:rPr>
        <w:t xml:space="preserve"> the TDM/non-TDM multiplexing mode </w:t>
      </w:r>
      <w:r w:rsidR="00960BC7">
        <w:rPr>
          <w:rFonts w:eastAsia="바탕"/>
          <w:szCs w:val="22"/>
          <w:lang w:val="en-US" w:eastAsia="ko-KR"/>
        </w:rPr>
        <w:t>corresponding to</w:t>
      </w:r>
      <w:r w:rsidRPr="003B07AE">
        <w:rPr>
          <w:rFonts w:eastAsia="바탕"/>
          <w:szCs w:val="22"/>
          <w:lang w:val="en-US" w:eastAsia="ko-KR"/>
        </w:rPr>
        <w:t xml:space="preserve"> the parent node. </w:t>
      </w:r>
      <w:r>
        <w:rPr>
          <w:rFonts w:eastAsia="바탕"/>
          <w:szCs w:val="22"/>
          <w:lang w:val="en-US" w:eastAsia="ko-KR"/>
        </w:rPr>
        <w:t>For this</w:t>
      </w:r>
      <w:r w:rsidRPr="003B07AE">
        <w:rPr>
          <w:rFonts w:eastAsia="바탕"/>
          <w:szCs w:val="22"/>
          <w:lang w:val="en-US" w:eastAsia="ko-KR"/>
        </w:rPr>
        <w:t>, the IAB</w:t>
      </w:r>
      <w:r>
        <w:rPr>
          <w:rFonts w:eastAsia="바탕"/>
          <w:szCs w:val="22"/>
          <w:lang w:val="en-US" w:eastAsia="ko-KR"/>
        </w:rPr>
        <w:t xml:space="preserve"> </w:t>
      </w:r>
      <w:r w:rsidRPr="003B07AE">
        <w:rPr>
          <w:rFonts w:eastAsia="바탕"/>
          <w:szCs w:val="22"/>
          <w:lang w:val="en-US" w:eastAsia="ko-KR"/>
        </w:rPr>
        <w:t>node can directly report the TDM/non-TDM multiplexing mode for each slot to the parent node. Then, the parent node can determine the H/S/NA configuration applied to the IAB node based on this information. Alternatively, the IAB</w:t>
      </w:r>
      <w:r w:rsidR="007705DA">
        <w:rPr>
          <w:rFonts w:eastAsia="바탕"/>
          <w:szCs w:val="22"/>
          <w:lang w:val="en-US" w:eastAsia="ko-KR"/>
        </w:rPr>
        <w:t xml:space="preserve"> </w:t>
      </w:r>
      <w:r w:rsidRPr="003B07AE">
        <w:rPr>
          <w:rFonts w:eastAsia="바탕"/>
          <w:szCs w:val="22"/>
          <w:lang w:val="en-US" w:eastAsia="ko-KR"/>
        </w:rPr>
        <w:t xml:space="preserve">node </w:t>
      </w:r>
      <w:r w:rsidR="007705DA">
        <w:rPr>
          <w:rFonts w:eastAsia="바탕"/>
          <w:szCs w:val="22"/>
          <w:lang w:val="en-US" w:eastAsia="ko-KR"/>
        </w:rPr>
        <w:t>can</w:t>
      </w:r>
      <w:r w:rsidRPr="003B07AE">
        <w:rPr>
          <w:rFonts w:eastAsia="바탕"/>
          <w:szCs w:val="22"/>
          <w:lang w:val="en-US" w:eastAsia="ko-KR"/>
        </w:rPr>
        <w:t xml:space="preserve"> report slot resource information to which the DU applies the Rx timing of Case 7 instead of t</w:t>
      </w:r>
      <w:r w:rsidR="007705DA">
        <w:rPr>
          <w:rFonts w:eastAsia="바탕"/>
          <w:szCs w:val="22"/>
          <w:lang w:val="en-US" w:eastAsia="ko-KR"/>
        </w:rPr>
        <w:t>he TDM/non-TDM multiplexing mode</w:t>
      </w:r>
      <w:r w:rsidRPr="003B07AE">
        <w:rPr>
          <w:rFonts w:eastAsia="바탕"/>
          <w:szCs w:val="22"/>
          <w:lang w:val="en-US" w:eastAsia="ko-KR"/>
        </w:rPr>
        <w:t xml:space="preserve">. In this case, the parent node </w:t>
      </w:r>
      <w:r w:rsidR="007705DA">
        <w:rPr>
          <w:rFonts w:eastAsia="바탕"/>
          <w:szCs w:val="22"/>
          <w:lang w:val="en-US" w:eastAsia="ko-KR"/>
        </w:rPr>
        <w:t xml:space="preserve">can </w:t>
      </w:r>
      <w:r w:rsidRPr="003B07AE">
        <w:rPr>
          <w:rFonts w:eastAsia="바탕"/>
          <w:szCs w:val="22"/>
          <w:lang w:val="en-US" w:eastAsia="ko-KR"/>
        </w:rPr>
        <w:t xml:space="preserve">determine </w:t>
      </w:r>
      <w:r w:rsidR="007705DA" w:rsidRPr="003B07AE">
        <w:rPr>
          <w:rFonts w:eastAsia="바탕"/>
          <w:szCs w:val="22"/>
          <w:lang w:val="en-US" w:eastAsia="ko-KR"/>
        </w:rPr>
        <w:t>TDM/non-TDM multiplexing mode</w:t>
      </w:r>
      <w:r w:rsidR="007705DA">
        <w:rPr>
          <w:rFonts w:eastAsia="바탕"/>
          <w:szCs w:val="22"/>
          <w:lang w:val="en-US" w:eastAsia="ko-KR"/>
        </w:rPr>
        <w:t xml:space="preserve"> of the IAB node based on the timing case information. In detail, </w:t>
      </w:r>
      <w:r w:rsidR="0079467A">
        <w:rPr>
          <w:rFonts w:eastAsia="바탕"/>
          <w:szCs w:val="22"/>
          <w:lang w:val="en-US" w:eastAsia="ko-KR"/>
        </w:rPr>
        <w:t>in the parent node perspective, t</w:t>
      </w:r>
      <w:r w:rsidR="0079467A" w:rsidRPr="0079467A">
        <w:rPr>
          <w:rFonts w:eastAsia="바탕"/>
          <w:szCs w:val="22"/>
          <w:lang w:val="en-US" w:eastAsia="ko-KR"/>
        </w:rPr>
        <w:t>he slot resource</w:t>
      </w:r>
      <w:r w:rsidR="00960BC7">
        <w:rPr>
          <w:rFonts w:eastAsia="바탕"/>
          <w:szCs w:val="22"/>
          <w:lang w:val="en-US" w:eastAsia="ko-KR"/>
        </w:rPr>
        <w:t>s</w:t>
      </w:r>
      <w:r w:rsidR="0079467A" w:rsidRPr="0079467A">
        <w:rPr>
          <w:rFonts w:eastAsia="바탕"/>
          <w:szCs w:val="22"/>
          <w:lang w:val="en-US" w:eastAsia="ko-KR"/>
        </w:rPr>
        <w:t xml:space="preserve"> of the IAB-node </w:t>
      </w:r>
      <w:r w:rsidR="00960BC7" w:rsidRPr="0079467A">
        <w:rPr>
          <w:rFonts w:eastAsia="바탕"/>
          <w:szCs w:val="22"/>
          <w:lang w:val="en-US" w:eastAsia="ko-KR"/>
        </w:rPr>
        <w:t>operat</w:t>
      </w:r>
      <w:r w:rsidR="00960BC7">
        <w:rPr>
          <w:rFonts w:eastAsia="바탕"/>
          <w:szCs w:val="22"/>
          <w:lang w:val="en-US" w:eastAsia="ko-KR"/>
        </w:rPr>
        <w:t xml:space="preserve">ing </w:t>
      </w:r>
      <w:r w:rsidR="0079467A">
        <w:rPr>
          <w:rFonts w:eastAsia="바탕"/>
          <w:szCs w:val="22"/>
          <w:lang w:val="en-US" w:eastAsia="ko-KR"/>
        </w:rPr>
        <w:t xml:space="preserve">with Case 6 </w:t>
      </w:r>
      <w:r w:rsidR="00960BC7">
        <w:rPr>
          <w:rFonts w:eastAsia="바탕"/>
          <w:szCs w:val="22"/>
          <w:lang w:val="en-US" w:eastAsia="ko-KR"/>
        </w:rPr>
        <w:t xml:space="preserve">timing for transmission indicated </w:t>
      </w:r>
      <w:r w:rsidR="0079467A">
        <w:rPr>
          <w:rFonts w:eastAsia="바탕"/>
          <w:szCs w:val="22"/>
          <w:lang w:val="en-US" w:eastAsia="ko-KR"/>
        </w:rPr>
        <w:t xml:space="preserve">by the </w:t>
      </w:r>
      <w:r w:rsidR="00960BC7">
        <w:rPr>
          <w:rFonts w:eastAsia="바탕"/>
          <w:szCs w:val="22"/>
          <w:lang w:val="en-US" w:eastAsia="ko-KR"/>
        </w:rPr>
        <w:t xml:space="preserve">parent node via </w:t>
      </w:r>
      <w:r w:rsidR="0079467A" w:rsidRPr="0079467A">
        <w:rPr>
          <w:rFonts w:eastAsia="바탕"/>
          <w:szCs w:val="22"/>
          <w:lang w:val="en-US" w:eastAsia="ko-KR"/>
        </w:rPr>
        <w:t xml:space="preserve">Timing Case Indication MAC CE </w:t>
      </w:r>
      <w:r w:rsidR="0079467A">
        <w:rPr>
          <w:rFonts w:eastAsia="바탕"/>
          <w:szCs w:val="22"/>
          <w:lang w:val="en-US" w:eastAsia="ko-KR"/>
        </w:rPr>
        <w:t xml:space="preserve">and </w:t>
      </w:r>
      <w:r w:rsidR="0079467A">
        <w:rPr>
          <w:rFonts w:eastAsia="바탕" w:hint="eastAsia"/>
          <w:szCs w:val="22"/>
          <w:lang w:val="en-US" w:eastAsia="ko-KR"/>
        </w:rPr>
        <w:t>t</w:t>
      </w:r>
      <w:r w:rsidR="0079467A" w:rsidRPr="0079467A">
        <w:rPr>
          <w:rFonts w:eastAsia="바탕"/>
          <w:szCs w:val="22"/>
          <w:lang w:val="en-US" w:eastAsia="ko-KR"/>
        </w:rPr>
        <w:t>he slot resource</w:t>
      </w:r>
      <w:r w:rsidR="00960BC7">
        <w:rPr>
          <w:rFonts w:eastAsia="바탕"/>
          <w:szCs w:val="22"/>
          <w:lang w:val="en-US" w:eastAsia="ko-KR"/>
        </w:rPr>
        <w:t>s</w:t>
      </w:r>
      <w:r w:rsidR="0079467A" w:rsidRPr="0079467A">
        <w:rPr>
          <w:rFonts w:eastAsia="바탕"/>
          <w:szCs w:val="22"/>
          <w:lang w:val="en-US" w:eastAsia="ko-KR"/>
        </w:rPr>
        <w:t xml:space="preserve"> </w:t>
      </w:r>
      <w:r w:rsidR="00960BC7">
        <w:rPr>
          <w:rFonts w:eastAsia="바탕"/>
          <w:szCs w:val="22"/>
          <w:lang w:val="en-US" w:eastAsia="ko-KR"/>
        </w:rPr>
        <w:t xml:space="preserve">of the IAB-node operating with Case 7 timing for reception </w:t>
      </w:r>
      <w:r w:rsidR="0079467A" w:rsidRPr="0079467A">
        <w:rPr>
          <w:rFonts w:eastAsia="바탕"/>
          <w:szCs w:val="22"/>
          <w:lang w:val="en-US" w:eastAsia="ko-KR"/>
        </w:rPr>
        <w:t xml:space="preserve">reported by the IAB node </w:t>
      </w:r>
      <w:r w:rsidR="0079467A">
        <w:rPr>
          <w:rFonts w:eastAsia="바탕"/>
          <w:szCs w:val="22"/>
          <w:lang w:val="en-US" w:eastAsia="ko-KR"/>
        </w:rPr>
        <w:t>can be assumed to have non-TDM multiplexing mode at the IAB node.</w:t>
      </w:r>
      <w:r w:rsidR="00DA33DA">
        <w:rPr>
          <w:rFonts w:eastAsia="바탕"/>
          <w:szCs w:val="22"/>
          <w:lang w:val="en-US" w:eastAsia="ko-KR"/>
        </w:rPr>
        <w:t xml:space="preserve"> Based</w:t>
      </w:r>
      <w:r w:rsidRPr="003B07AE">
        <w:rPr>
          <w:rFonts w:eastAsia="바탕"/>
          <w:szCs w:val="22"/>
          <w:lang w:val="en-US" w:eastAsia="ko-KR"/>
        </w:rPr>
        <w:t xml:space="preserve"> on </w:t>
      </w:r>
      <w:r w:rsidR="00960BC7" w:rsidRPr="003B07AE">
        <w:rPr>
          <w:rFonts w:eastAsia="바탕"/>
          <w:szCs w:val="22"/>
          <w:lang w:val="en-US" w:eastAsia="ko-KR"/>
        </w:rPr>
        <w:t>th</w:t>
      </w:r>
      <w:r w:rsidR="00960BC7">
        <w:rPr>
          <w:rFonts w:eastAsia="바탕"/>
          <w:szCs w:val="22"/>
          <w:lang w:val="en-US" w:eastAsia="ko-KR"/>
        </w:rPr>
        <w:t>o</w:t>
      </w:r>
      <w:r w:rsidR="00960BC7" w:rsidRPr="003B07AE">
        <w:rPr>
          <w:rFonts w:eastAsia="바탕"/>
          <w:szCs w:val="22"/>
          <w:lang w:val="en-US" w:eastAsia="ko-KR"/>
        </w:rPr>
        <w:t>s</w:t>
      </w:r>
      <w:r w:rsidR="00960BC7">
        <w:rPr>
          <w:rFonts w:eastAsia="바탕"/>
          <w:szCs w:val="22"/>
          <w:lang w:val="en-US" w:eastAsia="ko-KR"/>
        </w:rPr>
        <w:t>e</w:t>
      </w:r>
      <w:r w:rsidRPr="003B07AE">
        <w:rPr>
          <w:rFonts w:eastAsia="바탕"/>
          <w:szCs w:val="22"/>
          <w:lang w:val="en-US" w:eastAsia="ko-KR"/>
        </w:rPr>
        <w:t>, the parent node can determine the H/S/NA configuration applied to the IAB node.</w:t>
      </w:r>
    </w:p>
    <w:p w14:paraId="028459A1" w14:textId="4D14DB0D" w:rsidR="00AD46FC" w:rsidRDefault="00AD46FC" w:rsidP="003C7300">
      <w:pPr>
        <w:rPr>
          <w:rFonts w:eastAsia="바탕"/>
          <w:szCs w:val="22"/>
          <w:lang w:val="en-US" w:eastAsia="ko-KR"/>
        </w:rPr>
      </w:pPr>
      <w:r>
        <w:rPr>
          <w:rFonts w:eastAsia="바탕"/>
          <w:szCs w:val="22"/>
          <w:lang w:val="en-US" w:eastAsia="ko-KR"/>
        </w:rPr>
        <w:t>O</w:t>
      </w:r>
      <w:r>
        <w:rPr>
          <w:rFonts w:eastAsia="바탕" w:hint="eastAsia"/>
          <w:szCs w:val="22"/>
          <w:lang w:val="en-US" w:eastAsia="ko-KR"/>
        </w:rPr>
        <w:t xml:space="preserve">verall, </w:t>
      </w:r>
      <w:r>
        <w:rPr>
          <w:rFonts w:eastAsia="바탕"/>
          <w:szCs w:val="22"/>
          <w:lang w:val="en-US" w:eastAsia="ko-KR"/>
        </w:rPr>
        <w:t xml:space="preserve">to avoid the misunderstanding </w:t>
      </w:r>
      <w:r w:rsidR="00960BC7">
        <w:rPr>
          <w:rFonts w:eastAsia="바탕"/>
          <w:szCs w:val="22"/>
          <w:lang w:val="en-US" w:eastAsia="ko-KR"/>
        </w:rPr>
        <w:t xml:space="preserve">between IAB node and its parent node </w:t>
      </w:r>
      <w:r>
        <w:rPr>
          <w:rFonts w:eastAsia="바탕"/>
          <w:szCs w:val="22"/>
          <w:lang w:val="en-US" w:eastAsia="ko-KR"/>
        </w:rPr>
        <w:t>on the TDM/non-TDM multiplexing mode applied at the IAB node, information related on the applied TDM/non-TDM multiplexing mode should be shared.</w:t>
      </w:r>
    </w:p>
    <w:p w14:paraId="31B3E1A0" w14:textId="77777777" w:rsidR="003B07AE" w:rsidRPr="00DA33DA" w:rsidRDefault="003B07AE" w:rsidP="003C7300">
      <w:pPr>
        <w:rPr>
          <w:rFonts w:eastAsia="바탕"/>
          <w:szCs w:val="22"/>
          <w:lang w:val="en-US" w:eastAsia="ko-KR"/>
        </w:rPr>
      </w:pPr>
    </w:p>
    <w:p w14:paraId="166E2693" w14:textId="63C498A5" w:rsidR="000A0CDC" w:rsidRPr="00AD46FC" w:rsidRDefault="006932A5" w:rsidP="00991FCE">
      <w:pPr>
        <w:rPr>
          <w:rFonts w:eastAsia="바탕"/>
          <w:b/>
          <w:i/>
          <w:szCs w:val="22"/>
          <w:lang w:val="en-US" w:eastAsia="ko-KR"/>
        </w:rPr>
      </w:pPr>
      <w:r w:rsidRPr="00AD46FC">
        <w:rPr>
          <w:rFonts w:eastAsia="바탕" w:hint="eastAsia"/>
          <w:b/>
          <w:i/>
          <w:szCs w:val="22"/>
          <w:lang w:val="en-US" w:eastAsia="ko-KR"/>
        </w:rPr>
        <w:t xml:space="preserve">Proposal </w:t>
      </w:r>
      <w:r w:rsidRPr="00AD46FC">
        <w:rPr>
          <w:rFonts w:eastAsia="바탕"/>
          <w:b/>
          <w:i/>
          <w:szCs w:val="22"/>
          <w:lang w:val="en-US" w:eastAsia="ko-KR"/>
        </w:rPr>
        <w:t>1</w:t>
      </w:r>
      <w:r w:rsidRPr="00AD46FC">
        <w:rPr>
          <w:rFonts w:eastAsia="바탕" w:hint="eastAsia"/>
          <w:b/>
          <w:i/>
          <w:szCs w:val="22"/>
          <w:lang w:val="en-US" w:eastAsia="ko-KR"/>
        </w:rPr>
        <w:t xml:space="preserve">: </w:t>
      </w:r>
      <w:r w:rsidR="00AD46FC" w:rsidRPr="00AD46FC">
        <w:rPr>
          <w:rFonts w:eastAsia="바탕"/>
          <w:b/>
          <w:i/>
          <w:szCs w:val="22"/>
          <w:lang w:val="en-US" w:eastAsia="ko-KR"/>
        </w:rPr>
        <w:t xml:space="preserve">Slot resource information on TDM/non-TDM multiplexing mode or Case 7 DU Rx timing at the IAB-node should be </w:t>
      </w:r>
      <w:r w:rsidR="00960BC7">
        <w:rPr>
          <w:rFonts w:eastAsia="바탕"/>
          <w:b/>
          <w:i/>
          <w:szCs w:val="22"/>
          <w:lang w:val="en-US" w:eastAsia="ko-KR"/>
        </w:rPr>
        <w:t xml:space="preserve">shared </w:t>
      </w:r>
      <w:r w:rsidR="00AD46FC" w:rsidRPr="00AD46FC">
        <w:rPr>
          <w:rFonts w:eastAsia="바탕"/>
          <w:b/>
          <w:i/>
          <w:szCs w:val="22"/>
          <w:lang w:val="en-US" w:eastAsia="ko-KR"/>
        </w:rPr>
        <w:t>between IAB node and its parent node.</w:t>
      </w:r>
    </w:p>
    <w:p w14:paraId="317F6AAF" w14:textId="77777777" w:rsidR="00427E55" w:rsidRPr="00385639" w:rsidRDefault="00427E55" w:rsidP="00991FCE">
      <w:pPr>
        <w:rPr>
          <w:rFonts w:eastAsia="바탕"/>
          <w:szCs w:val="22"/>
          <w:lang w:val="en-US" w:eastAsia="ko-KR"/>
        </w:rPr>
      </w:pPr>
    </w:p>
    <w:p w14:paraId="35772534" w14:textId="28107313" w:rsidR="0086079F" w:rsidRPr="004F31CA" w:rsidRDefault="0086079F" w:rsidP="0086079F">
      <w:pPr>
        <w:pStyle w:val="1"/>
      </w:pPr>
      <w:r w:rsidRPr="004F31CA">
        <w:t>Conclusion</w:t>
      </w:r>
    </w:p>
    <w:p w14:paraId="380F8B22" w14:textId="12298B89" w:rsidR="00D635CF" w:rsidRDefault="00D635CF" w:rsidP="00D635CF">
      <w:pPr>
        <w:rPr>
          <w:lang w:eastAsia="ko-KR"/>
        </w:rPr>
      </w:pPr>
      <w:r>
        <w:rPr>
          <w:lang w:eastAsia="ko-KR"/>
        </w:rPr>
        <w:t xml:space="preserve">In this contribution, we discussed on </w:t>
      </w:r>
      <w:r w:rsidR="00E73AD7">
        <w:rPr>
          <w:lang w:eastAsia="ko-KR"/>
        </w:rPr>
        <w:t>the remaining issue on the</w:t>
      </w:r>
      <w:r>
        <w:rPr>
          <w:lang w:eastAsia="ko-KR"/>
        </w:rPr>
        <w:t xml:space="preserve"> resource multiplexing enhancement between child and parent links of an </w:t>
      </w:r>
      <w:r w:rsidR="00856FE1">
        <w:rPr>
          <w:lang w:eastAsia="ko-KR"/>
        </w:rPr>
        <w:t>IAB-node</w:t>
      </w:r>
      <w:r>
        <w:rPr>
          <w:lang w:eastAsia="ko-KR"/>
        </w:rPr>
        <w:t>. From the discussion, w</w:t>
      </w:r>
      <w:bookmarkStart w:id="3" w:name="_GoBack"/>
      <w:bookmarkEnd w:id="3"/>
      <w:r>
        <w:rPr>
          <w:lang w:eastAsia="ko-KR"/>
        </w:rPr>
        <w:t xml:space="preserve">e obtained following </w:t>
      </w:r>
      <w:r w:rsidR="00E73AD7">
        <w:rPr>
          <w:lang w:eastAsia="ko-KR"/>
        </w:rPr>
        <w:t>proposal</w:t>
      </w:r>
      <w:r w:rsidR="00DF0294">
        <w:rPr>
          <w:lang w:eastAsia="ko-KR"/>
        </w:rPr>
        <w:t>.</w:t>
      </w:r>
    </w:p>
    <w:p w14:paraId="0AFBD67B" w14:textId="77777777" w:rsidR="00EE4494" w:rsidRDefault="00EE4494">
      <w:pPr>
        <w:pStyle w:val="3GPPAgreements"/>
        <w:numPr>
          <w:ilvl w:val="0"/>
          <w:numId w:val="0"/>
        </w:numPr>
        <w:ind w:left="284" w:hanging="284"/>
      </w:pPr>
    </w:p>
    <w:p w14:paraId="761840BE" w14:textId="34C0E316" w:rsidR="00522872" w:rsidRPr="00AD46FC" w:rsidRDefault="00522872" w:rsidP="00522872">
      <w:pPr>
        <w:rPr>
          <w:rFonts w:eastAsia="바탕"/>
          <w:b/>
          <w:i/>
          <w:szCs w:val="22"/>
          <w:lang w:val="en-US" w:eastAsia="ko-KR"/>
        </w:rPr>
      </w:pPr>
      <w:r w:rsidRPr="00AD46FC">
        <w:rPr>
          <w:rFonts w:eastAsia="바탕" w:hint="eastAsia"/>
          <w:b/>
          <w:i/>
          <w:szCs w:val="22"/>
          <w:lang w:val="en-US" w:eastAsia="ko-KR"/>
        </w:rPr>
        <w:t xml:space="preserve">Proposal </w:t>
      </w:r>
      <w:r w:rsidRPr="00AD46FC">
        <w:rPr>
          <w:rFonts w:eastAsia="바탕"/>
          <w:b/>
          <w:i/>
          <w:szCs w:val="22"/>
          <w:lang w:val="en-US" w:eastAsia="ko-KR"/>
        </w:rPr>
        <w:t>1</w:t>
      </w:r>
      <w:r w:rsidRPr="00AD46FC">
        <w:rPr>
          <w:rFonts w:eastAsia="바탕" w:hint="eastAsia"/>
          <w:b/>
          <w:i/>
          <w:szCs w:val="22"/>
          <w:lang w:val="en-US" w:eastAsia="ko-KR"/>
        </w:rPr>
        <w:t xml:space="preserve">: </w:t>
      </w:r>
      <w:r w:rsidRPr="00AD46FC">
        <w:rPr>
          <w:rFonts w:eastAsia="바탕"/>
          <w:b/>
          <w:i/>
          <w:szCs w:val="22"/>
          <w:lang w:val="en-US" w:eastAsia="ko-KR"/>
        </w:rPr>
        <w:t xml:space="preserve">Slot resource information on TDM/non-TDM multiplexing mode or Case 7 DU Rx timing at the IAB-node should be </w:t>
      </w:r>
      <w:r w:rsidR="00463226">
        <w:rPr>
          <w:rFonts w:eastAsia="바탕" w:hint="eastAsia"/>
          <w:b/>
          <w:i/>
          <w:szCs w:val="22"/>
          <w:lang w:val="en-US" w:eastAsia="ko-KR"/>
        </w:rPr>
        <w:t xml:space="preserve">shared </w:t>
      </w:r>
      <w:r w:rsidRPr="00AD46FC">
        <w:rPr>
          <w:rFonts w:eastAsia="바탕"/>
          <w:b/>
          <w:i/>
          <w:szCs w:val="22"/>
          <w:lang w:val="en-US" w:eastAsia="ko-KR"/>
        </w:rPr>
        <w:t>between IAB node and its parent node.</w:t>
      </w:r>
    </w:p>
    <w:p w14:paraId="491ABE7E" w14:textId="77777777" w:rsidR="00D635CF" w:rsidRPr="00522872" w:rsidRDefault="00D635CF">
      <w:pPr>
        <w:pStyle w:val="3GPPAgreements"/>
        <w:numPr>
          <w:ilvl w:val="0"/>
          <w:numId w:val="0"/>
        </w:numPr>
        <w:ind w:left="284" w:hanging="284"/>
      </w:pPr>
    </w:p>
    <w:p w14:paraId="319EE22A" w14:textId="33C46C2C" w:rsidR="0086079F" w:rsidRDefault="0086079F" w:rsidP="0086079F">
      <w:pPr>
        <w:pStyle w:val="1"/>
      </w:pPr>
      <w:r>
        <w:t>Reference</w:t>
      </w:r>
    </w:p>
    <w:p w14:paraId="298280F1" w14:textId="77777777" w:rsidR="00686AF5" w:rsidRPr="00947EA1" w:rsidRDefault="00686AF5" w:rsidP="00686AF5">
      <w:pPr>
        <w:pStyle w:val="ac"/>
        <w:numPr>
          <w:ilvl w:val="0"/>
          <w:numId w:val="26"/>
        </w:numPr>
        <w:ind w:leftChars="0"/>
        <w:rPr>
          <w:kern w:val="2"/>
          <w:lang w:eastAsia="ko-KR"/>
        </w:rPr>
      </w:pPr>
      <w:r w:rsidRPr="00947EA1">
        <w:rPr>
          <w:kern w:val="2"/>
          <w:lang w:eastAsia="ko-KR"/>
        </w:rPr>
        <w:t>RAN1 Chair’s Notes, RAN1 #106bis-e, e-Meeting, October 11th – 19th, 2021</w:t>
      </w:r>
    </w:p>
    <w:p w14:paraId="271079F5" w14:textId="738D8A27" w:rsidR="00B00253" w:rsidRPr="00686AF5" w:rsidRDefault="00B00253" w:rsidP="00DF0646">
      <w:pPr>
        <w:rPr>
          <w:kern w:val="2"/>
          <w:lang w:eastAsia="ko-KR"/>
        </w:rPr>
      </w:pPr>
    </w:p>
    <w:sectPr w:rsidR="00B00253" w:rsidRPr="00686AF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F2B12" w14:textId="77777777" w:rsidR="00F3784E" w:rsidRDefault="00F3784E">
      <w:pPr>
        <w:spacing w:after="0"/>
      </w:pPr>
      <w:r>
        <w:separator/>
      </w:r>
    </w:p>
  </w:endnote>
  <w:endnote w:type="continuationSeparator" w:id="0">
    <w:p w14:paraId="4B93B299" w14:textId="77777777" w:rsidR="00F3784E" w:rsidRDefault="00F378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150AF7" w:rsidRDefault="00150AF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F31CA">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F31CA">
      <w:rPr>
        <w:rStyle w:val="a7"/>
      </w:rPr>
      <w:t>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86551" w14:textId="77777777" w:rsidR="00F3784E" w:rsidRDefault="00F3784E">
      <w:pPr>
        <w:spacing w:after="0"/>
      </w:pPr>
      <w:r>
        <w:separator/>
      </w:r>
    </w:p>
  </w:footnote>
  <w:footnote w:type="continuationSeparator" w:id="0">
    <w:p w14:paraId="14F7703F" w14:textId="77777777" w:rsidR="00F3784E" w:rsidRDefault="00F378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150AF7" w:rsidRDefault="00150AF7">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EB199B"/>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3D7385"/>
    <w:multiLevelType w:val="hybridMultilevel"/>
    <w:tmpl w:val="2C728F1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D771520"/>
    <w:multiLevelType w:val="hybridMultilevel"/>
    <w:tmpl w:val="30E2B6FE"/>
    <w:lvl w:ilvl="0" w:tplc="A0960DE0">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C26B1E"/>
    <w:multiLevelType w:val="hybridMultilevel"/>
    <w:tmpl w:val="F5B23682"/>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664957"/>
    <w:multiLevelType w:val="hybridMultilevel"/>
    <w:tmpl w:val="F5B23682"/>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5B3025"/>
    <w:multiLevelType w:val="hybridMultilevel"/>
    <w:tmpl w:val="051097CE"/>
    <w:lvl w:ilvl="0" w:tplc="5E22B88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9"/>
  </w:num>
  <w:num w:numId="8">
    <w:abstractNumId w:val="23"/>
  </w:num>
  <w:num w:numId="9">
    <w:abstractNumId w:val="35"/>
  </w:num>
  <w:num w:numId="10">
    <w:abstractNumId w:val="15"/>
    <w:lvlOverride w:ilvl="0">
      <w:startOverride w:val="1"/>
    </w:lvlOverride>
  </w:num>
  <w:num w:numId="11">
    <w:abstractNumId w:val="3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6"/>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3"/>
  </w:num>
  <w:num w:numId="24">
    <w:abstractNumId w:val="9"/>
  </w:num>
  <w:num w:numId="25">
    <w:abstractNumId w:val="16"/>
  </w:num>
  <w:num w:numId="26">
    <w:abstractNumId w:val="38"/>
  </w:num>
  <w:num w:numId="27">
    <w:abstractNumId w:val="17"/>
  </w:num>
  <w:num w:numId="28">
    <w:abstractNumId w:val="7"/>
  </w:num>
  <w:num w:numId="29">
    <w:abstractNumId w:val="33"/>
  </w:num>
  <w:num w:numId="30">
    <w:abstractNumId w:val="8"/>
  </w:num>
  <w:num w:numId="31">
    <w:abstractNumId w:val="26"/>
  </w:num>
  <w:num w:numId="32">
    <w:abstractNumId w:val="22"/>
  </w:num>
  <w:num w:numId="33">
    <w:abstractNumId w:val="37"/>
  </w:num>
  <w:num w:numId="34">
    <w:abstractNumId w:val="6"/>
  </w:num>
  <w:num w:numId="35">
    <w:abstractNumId w:val="12"/>
  </w:num>
  <w:num w:numId="36">
    <w:abstractNumId w:val="32"/>
  </w:num>
  <w:num w:numId="37">
    <w:abstractNumId w:val="29"/>
  </w:num>
  <w:num w:numId="38">
    <w:abstractNumId w:val="31"/>
  </w:num>
  <w:num w:numId="39">
    <w:abstractNumId w:val="24"/>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0C8"/>
    <w:rsid w:val="00004253"/>
    <w:rsid w:val="0000496D"/>
    <w:rsid w:val="00005122"/>
    <w:rsid w:val="00005268"/>
    <w:rsid w:val="00005419"/>
    <w:rsid w:val="000056E4"/>
    <w:rsid w:val="00006B9B"/>
    <w:rsid w:val="000070A5"/>
    <w:rsid w:val="00007B7F"/>
    <w:rsid w:val="00010268"/>
    <w:rsid w:val="00010791"/>
    <w:rsid w:val="0001173B"/>
    <w:rsid w:val="00011786"/>
    <w:rsid w:val="00011995"/>
    <w:rsid w:val="00011BF0"/>
    <w:rsid w:val="00012040"/>
    <w:rsid w:val="0001235D"/>
    <w:rsid w:val="000127D0"/>
    <w:rsid w:val="00012A91"/>
    <w:rsid w:val="00012F5C"/>
    <w:rsid w:val="00012FC4"/>
    <w:rsid w:val="0001300C"/>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7B3"/>
    <w:rsid w:val="0002283B"/>
    <w:rsid w:val="00022AAD"/>
    <w:rsid w:val="00022D89"/>
    <w:rsid w:val="00023291"/>
    <w:rsid w:val="0002365F"/>
    <w:rsid w:val="000238FC"/>
    <w:rsid w:val="00024209"/>
    <w:rsid w:val="0002427B"/>
    <w:rsid w:val="00024811"/>
    <w:rsid w:val="00024AA6"/>
    <w:rsid w:val="00024B5E"/>
    <w:rsid w:val="00025025"/>
    <w:rsid w:val="000252ED"/>
    <w:rsid w:val="00025D11"/>
    <w:rsid w:val="000262DE"/>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287"/>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078"/>
    <w:rsid w:val="000462FA"/>
    <w:rsid w:val="000466CA"/>
    <w:rsid w:val="0004703A"/>
    <w:rsid w:val="0004704C"/>
    <w:rsid w:val="000470F9"/>
    <w:rsid w:val="000471EF"/>
    <w:rsid w:val="00047B71"/>
    <w:rsid w:val="00047CE8"/>
    <w:rsid w:val="0005004E"/>
    <w:rsid w:val="000500C2"/>
    <w:rsid w:val="000503C2"/>
    <w:rsid w:val="00050472"/>
    <w:rsid w:val="0005066A"/>
    <w:rsid w:val="00050C86"/>
    <w:rsid w:val="0005114B"/>
    <w:rsid w:val="00051184"/>
    <w:rsid w:val="0005198A"/>
    <w:rsid w:val="00051A88"/>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5FA4"/>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4BE"/>
    <w:rsid w:val="000627EE"/>
    <w:rsid w:val="00062AED"/>
    <w:rsid w:val="000632F2"/>
    <w:rsid w:val="0006347A"/>
    <w:rsid w:val="000634AD"/>
    <w:rsid w:val="000644D3"/>
    <w:rsid w:val="0006479D"/>
    <w:rsid w:val="00064842"/>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C16"/>
    <w:rsid w:val="00073E16"/>
    <w:rsid w:val="00073EFD"/>
    <w:rsid w:val="000741FA"/>
    <w:rsid w:val="000746A1"/>
    <w:rsid w:val="00075683"/>
    <w:rsid w:val="000759C4"/>
    <w:rsid w:val="000760FF"/>
    <w:rsid w:val="00076555"/>
    <w:rsid w:val="00076688"/>
    <w:rsid w:val="00076F7F"/>
    <w:rsid w:val="00080262"/>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84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BC6"/>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0CDC"/>
    <w:rsid w:val="000A22D7"/>
    <w:rsid w:val="000A247D"/>
    <w:rsid w:val="000A2769"/>
    <w:rsid w:val="000A3CAC"/>
    <w:rsid w:val="000A4312"/>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4DA"/>
    <w:rsid w:val="000B35ED"/>
    <w:rsid w:val="000B3EAB"/>
    <w:rsid w:val="000B3EE5"/>
    <w:rsid w:val="000B3F4C"/>
    <w:rsid w:val="000B4780"/>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C30"/>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0C"/>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261"/>
    <w:rsid w:val="000F1532"/>
    <w:rsid w:val="000F1A3D"/>
    <w:rsid w:val="000F1FCF"/>
    <w:rsid w:val="000F2418"/>
    <w:rsid w:val="000F39BC"/>
    <w:rsid w:val="000F3CB4"/>
    <w:rsid w:val="000F4287"/>
    <w:rsid w:val="000F4A30"/>
    <w:rsid w:val="000F4E3C"/>
    <w:rsid w:val="000F4F7C"/>
    <w:rsid w:val="000F5A13"/>
    <w:rsid w:val="000F5ECB"/>
    <w:rsid w:val="000F602D"/>
    <w:rsid w:val="000F6323"/>
    <w:rsid w:val="000F6522"/>
    <w:rsid w:val="000F6AC5"/>
    <w:rsid w:val="000F7C79"/>
    <w:rsid w:val="00100131"/>
    <w:rsid w:val="00100738"/>
    <w:rsid w:val="00100931"/>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B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529"/>
    <w:rsid w:val="00124550"/>
    <w:rsid w:val="00124681"/>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2D2"/>
    <w:rsid w:val="00150AF7"/>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57D8B"/>
    <w:rsid w:val="00157E7F"/>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BE2"/>
    <w:rsid w:val="0016545A"/>
    <w:rsid w:val="00165F92"/>
    <w:rsid w:val="00166453"/>
    <w:rsid w:val="00166F17"/>
    <w:rsid w:val="0016702E"/>
    <w:rsid w:val="00167903"/>
    <w:rsid w:val="00167B2C"/>
    <w:rsid w:val="00167FE4"/>
    <w:rsid w:val="00170017"/>
    <w:rsid w:val="001705B6"/>
    <w:rsid w:val="001706DA"/>
    <w:rsid w:val="00171631"/>
    <w:rsid w:val="00171CA8"/>
    <w:rsid w:val="001720B4"/>
    <w:rsid w:val="001722E5"/>
    <w:rsid w:val="00172303"/>
    <w:rsid w:val="001723EE"/>
    <w:rsid w:val="00172504"/>
    <w:rsid w:val="001725CB"/>
    <w:rsid w:val="001729BF"/>
    <w:rsid w:val="00172ECE"/>
    <w:rsid w:val="0017320E"/>
    <w:rsid w:val="00173647"/>
    <w:rsid w:val="001737CD"/>
    <w:rsid w:val="001737FE"/>
    <w:rsid w:val="00173D6D"/>
    <w:rsid w:val="0017469A"/>
    <w:rsid w:val="001746ED"/>
    <w:rsid w:val="00174773"/>
    <w:rsid w:val="001755F0"/>
    <w:rsid w:val="00175936"/>
    <w:rsid w:val="001763D2"/>
    <w:rsid w:val="00176974"/>
    <w:rsid w:val="001769AD"/>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1E7"/>
    <w:rsid w:val="001872FD"/>
    <w:rsid w:val="00187A82"/>
    <w:rsid w:val="001913E8"/>
    <w:rsid w:val="0019152A"/>
    <w:rsid w:val="001915A9"/>
    <w:rsid w:val="00191695"/>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9F4"/>
    <w:rsid w:val="00197A8F"/>
    <w:rsid w:val="00197AA0"/>
    <w:rsid w:val="00197C52"/>
    <w:rsid w:val="00197EC1"/>
    <w:rsid w:val="001A02FF"/>
    <w:rsid w:val="001A1310"/>
    <w:rsid w:val="001A141B"/>
    <w:rsid w:val="001A159D"/>
    <w:rsid w:val="001A16DB"/>
    <w:rsid w:val="001A1844"/>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1DA"/>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3E05"/>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75E"/>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008"/>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CBF"/>
    <w:rsid w:val="001E7D0C"/>
    <w:rsid w:val="001F06CE"/>
    <w:rsid w:val="001F0921"/>
    <w:rsid w:val="001F2019"/>
    <w:rsid w:val="001F2285"/>
    <w:rsid w:val="001F2367"/>
    <w:rsid w:val="001F2571"/>
    <w:rsid w:val="001F27B5"/>
    <w:rsid w:val="001F2A45"/>
    <w:rsid w:val="001F2D4D"/>
    <w:rsid w:val="001F47A8"/>
    <w:rsid w:val="001F4A6A"/>
    <w:rsid w:val="001F4A9F"/>
    <w:rsid w:val="001F4E9E"/>
    <w:rsid w:val="001F5A60"/>
    <w:rsid w:val="001F5ECD"/>
    <w:rsid w:val="001F7603"/>
    <w:rsid w:val="001F7BDC"/>
    <w:rsid w:val="001F7C46"/>
    <w:rsid w:val="001F7CE9"/>
    <w:rsid w:val="00200360"/>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20B"/>
    <w:rsid w:val="002245C3"/>
    <w:rsid w:val="002249D6"/>
    <w:rsid w:val="00224C18"/>
    <w:rsid w:val="00224D1C"/>
    <w:rsid w:val="002256FC"/>
    <w:rsid w:val="002262B7"/>
    <w:rsid w:val="002265FB"/>
    <w:rsid w:val="00226B1E"/>
    <w:rsid w:val="00226DF0"/>
    <w:rsid w:val="0022719D"/>
    <w:rsid w:val="00227F6D"/>
    <w:rsid w:val="002307CC"/>
    <w:rsid w:val="00230A32"/>
    <w:rsid w:val="00230C61"/>
    <w:rsid w:val="00231099"/>
    <w:rsid w:val="0023149A"/>
    <w:rsid w:val="0023167F"/>
    <w:rsid w:val="0023219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13D"/>
    <w:rsid w:val="00242627"/>
    <w:rsid w:val="002428F4"/>
    <w:rsid w:val="00242AC2"/>
    <w:rsid w:val="00242CC5"/>
    <w:rsid w:val="002438B6"/>
    <w:rsid w:val="00243E3B"/>
    <w:rsid w:val="002444A3"/>
    <w:rsid w:val="0024450C"/>
    <w:rsid w:val="00244877"/>
    <w:rsid w:val="00244975"/>
    <w:rsid w:val="00244FCD"/>
    <w:rsid w:val="0024586A"/>
    <w:rsid w:val="002464CF"/>
    <w:rsid w:val="00246507"/>
    <w:rsid w:val="00246921"/>
    <w:rsid w:val="00246B11"/>
    <w:rsid w:val="00246B99"/>
    <w:rsid w:val="00247407"/>
    <w:rsid w:val="00247454"/>
    <w:rsid w:val="0024756E"/>
    <w:rsid w:val="00247587"/>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57B09"/>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800"/>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A7FD9"/>
    <w:rsid w:val="002B0B13"/>
    <w:rsid w:val="002B0B99"/>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13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38B"/>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2BE8"/>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931"/>
    <w:rsid w:val="002F5E21"/>
    <w:rsid w:val="002F6DEF"/>
    <w:rsid w:val="002F6E4D"/>
    <w:rsid w:val="002F775C"/>
    <w:rsid w:val="0030036C"/>
    <w:rsid w:val="00300545"/>
    <w:rsid w:val="0030067E"/>
    <w:rsid w:val="00300EF0"/>
    <w:rsid w:val="00300FDD"/>
    <w:rsid w:val="00301349"/>
    <w:rsid w:val="00301AD4"/>
    <w:rsid w:val="00301D36"/>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EE7"/>
    <w:rsid w:val="00306F82"/>
    <w:rsid w:val="00306FE3"/>
    <w:rsid w:val="00307038"/>
    <w:rsid w:val="003078B5"/>
    <w:rsid w:val="003107E5"/>
    <w:rsid w:val="003110D8"/>
    <w:rsid w:val="003120CF"/>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4C3"/>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4A9"/>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66C7"/>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583"/>
    <w:rsid w:val="003617B3"/>
    <w:rsid w:val="00361878"/>
    <w:rsid w:val="00361B88"/>
    <w:rsid w:val="003622F1"/>
    <w:rsid w:val="00362875"/>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6A7"/>
    <w:rsid w:val="00371A0F"/>
    <w:rsid w:val="00371B50"/>
    <w:rsid w:val="00371C62"/>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639"/>
    <w:rsid w:val="00386630"/>
    <w:rsid w:val="00386757"/>
    <w:rsid w:val="00387280"/>
    <w:rsid w:val="0038736C"/>
    <w:rsid w:val="003876E1"/>
    <w:rsid w:val="00387883"/>
    <w:rsid w:val="003907B3"/>
    <w:rsid w:val="00391DD6"/>
    <w:rsid w:val="0039253D"/>
    <w:rsid w:val="00392751"/>
    <w:rsid w:val="003928C3"/>
    <w:rsid w:val="00393312"/>
    <w:rsid w:val="00393AAD"/>
    <w:rsid w:val="00393AEA"/>
    <w:rsid w:val="00393DCC"/>
    <w:rsid w:val="00393E0B"/>
    <w:rsid w:val="003944EE"/>
    <w:rsid w:val="003949BA"/>
    <w:rsid w:val="00395258"/>
    <w:rsid w:val="00395276"/>
    <w:rsid w:val="00395CF5"/>
    <w:rsid w:val="00396188"/>
    <w:rsid w:val="003964F8"/>
    <w:rsid w:val="003971C0"/>
    <w:rsid w:val="0039726A"/>
    <w:rsid w:val="0039795B"/>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07AE"/>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421"/>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5D5"/>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300"/>
    <w:rsid w:val="003C7498"/>
    <w:rsid w:val="003C765B"/>
    <w:rsid w:val="003C78F3"/>
    <w:rsid w:val="003C7CFC"/>
    <w:rsid w:val="003C7D4F"/>
    <w:rsid w:val="003C7F0C"/>
    <w:rsid w:val="003C7FA1"/>
    <w:rsid w:val="003D0510"/>
    <w:rsid w:val="003D06A8"/>
    <w:rsid w:val="003D099A"/>
    <w:rsid w:val="003D0A28"/>
    <w:rsid w:val="003D0E4A"/>
    <w:rsid w:val="003D0E61"/>
    <w:rsid w:val="003D0F11"/>
    <w:rsid w:val="003D12FC"/>
    <w:rsid w:val="003D18F1"/>
    <w:rsid w:val="003D20FA"/>
    <w:rsid w:val="003D2127"/>
    <w:rsid w:val="003D21E2"/>
    <w:rsid w:val="003D23C8"/>
    <w:rsid w:val="003D2E72"/>
    <w:rsid w:val="003D30A3"/>
    <w:rsid w:val="003D3618"/>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970"/>
    <w:rsid w:val="00402A9E"/>
    <w:rsid w:val="00402F1F"/>
    <w:rsid w:val="004030D9"/>
    <w:rsid w:val="0040335D"/>
    <w:rsid w:val="004033CE"/>
    <w:rsid w:val="00403774"/>
    <w:rsid w:val="00403858"/>
    <w:rsid w:val="00403D5D"/>
    <w:rsid w:val="00403D6A"/>
    <w:rsid w:val="00404044"/>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49B8"/>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0EF"/>
    <w:rsid w:val="00423107"/>
    <w:rsid w:val="0042399C"/>
    <w:rsid w:val="00423BD9"/>
    <w:rsid w:val="00424C30"/>
    <w:rsid w:val="00424CD8"/>
    <w:rsid w:val="00424E08"/>
    <w:rsid w:val="00424EC8"/>
    <w:rsid w:val="00425179"/>
    <w:rsid w:val="00425492"/>
    <w:rsid w:val="00425501"/>
    <w:rsid w:val="0042555A"/>
    <w:rsid w:val="00425DBA"/>
    <w:rsid w:val="004273C3"/>
    <w:rsid w:val="00427987"/>
    <w:rsid w:val="00427E55"/>
    <w:rsid w:val="00430021"/>
    <w:rsid w:val="00430057"/>
    <w:rsid w:val="00430912"/>
    <w:rsid w:val="004309E7"/>
    <w:rsid w:val="00431315"/>
    <w:rsid w:val="00432280"/>
    <w:rsid w:val="0043265A"/>
    <w:rsid w:val="00432CEA"/>
    <w:rsid w:val="00433149"/>
    <w:rsid w:val="00433734"/>
    <w:rsid w:val="00433BDA"/>
    <w:rsid w:val="00434013"/>
    <w:rsid w:val="004345CD"/>
    <w:rsid w:val="0043490B"/>
    <w:rsid w:val="00434B4A"/>
    <w:rsid w:val="00435785"/>
    <w:rsid w:val="004357FE"/>
    <w:rsid w:val="00436935"/>
    <w:rsid w:val="00436F1B"/>
    <w:rsid w:val="00437422"/>
    <w:rsid w:val="0043742A"/>
    <w:rsid w:val="0043747F"/>
    <w:rsid w:val="004374B4"/>
    <w:rsid w:val="004374F1"/>
    <w:rsid w:val="004379AC"/>
    <w:rsid w:val="00437BB7"/>
    <w:rsid w:val="0044033A"/>
    <w:rsid w:val="00441067"/>
    <w:rsid w:val="00441A70"/>
    <w:rsid w:val="00441AB7"/>
    <w:rsid w:val="00441EC7"/>
    <w:rsid w:val="00441F9E"/>
    <w:rsid w:val="00442469"/>
    <w:rsid w:val="00442513"/>
    <w:rsid w:val="00443527"/>
    <w:rsid w:val="00443B67"/>
    <w:rsid w:val="00443EE6"/>
    <w:rsid w:val="0044403C"/>
    <w:rsid w:val="00444196"/>
    <w:rsid w:val="004441F7"/>
    <w:rsid w:val="004448B0"/>
    <w:rsid w:val="00445206"/>
    <w:rsid w:val="0044521A"/>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44F"/>
    <w:rsid w:val="00455C46"/>
    <w:rsid w:val="0045600E"/>
    <w:rsid w:val="0045650B"/>
    <w:rsid w:val="0045675E"/>
    <w:rsid w:val="00456A7A"/>
    <w:rsid w:val="00456C88"/>
    <w:rsid w:val="00457372"/>
    <w:rsid w:val="004573E3"/>
    <w:rsid w:val="004577A0"/>
    <w:rsid w:val="00457E9A"/>
    <w:rsid w:val="00460770"/>
    <w:rsid w:val="00460A8B"/>
    <w:rsid w:val="00460B93"/>
    <w:rsid w:val="00460FBB"/>
    <w:rsid w:val="00461372"/>
    <w:rsid w:val="004614D7"/>
    <w:rsid w:val="00461585"/>
    <w:rsid w:val="004616E1"/>
    <w:rsid w:val="00461894"/>
    <w:rsid w:val="00461DA7"/>
    <w:rsid w:val="004629CF"/>
    <w:rsid w:val="00462B8B"/>
    <w:rsid w:val="00463226"/>
    <w:rsid w:val="0046335A"/>
    <w:rsid w:val="00464804"/>
    <w:rsid w:val="00464E2B"/>
    <w:rsid w:val="00464EEC"/>
    <w:rsid w:val="0046525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276"/>
    <w:rsid w:val="004728C1"/>
    <w:rsid w:val="00472A1A"/>
    <w:rsid w:val="00472F43"/>
    <w:rsid w:val="004738FE"/>
    <w:rsid w:val="00473BCA"/>
    <w:rsid w:val="00473CBE"/>
    <w:rsid w:val="00473E69"/>
    <w:rsid w:val="00473EBA"/>
    <w:rsid w:val="00473EC5"/>
    <w:rsid w:val="004747B3"/>
    <w:rsid w:val="004748F1"/>
    <w:rsid w:val="00475807"/>
    <w:rsid w:val="00475945"/>
    <w:rsid w:val="00475E78"/>
    <w:rsid w:val="0047625B"/>
    <w:rsid w:val="00476B50"/>
    <w:rsid w:val="00476BFC"/>
    <w:rsid w:val="00476F51"/>
    <w:rsid w:val="00477802"/>
    <w:rsid w:val="00477847"/>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6C50"/>
    <w:rsid w:val="00487746"/>
    <w:rsid w:val="00487805"/>
    <w:rsid w:val="00487DB4"/>
    <w:rsid w:val="00490203"/>
    <w:rsid w:val="00490329"/>
    <w:rsid w:val="0049046C"/>
    <w:rsid w:val="004904F0"/>
    <w:rsid w:val="00490C06"/>
    <w:rsid w:val="00490C07"/>
    <w:rsid w:val="00490E54"/>
    <w:rsid w:val="00491277"/>
    <w:rsid w:val="00491572"/>
    <w:rsid w:val="00491D4F"/>
    <w:rsid w:val="004921DC"/>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15D"/>
    <w:rsid w:val="00495493"/>
    <w:rsid w:val="004954D3"/>
    <w:rsid w:val="004957A0"/>
    <w:rsid w:val="00495A16"/>
    <w:rsid w:val="00495B4D"/>
    <w:rsid w:val="00495D7C"/>
    <w:rsid w:val="00496073"/>
    <w:rsid w:val="0049641A"/>
    <w:rsid w:val="004966F7"/>
    <w:rsid w:val="00496D20"/>
    <w:rsid w:val="00496E1E"/>
    <w:rsid w:val="00497384"/>
    <w:rsid w:val="004975FD"/>
    <w:rsid w:val="004979E5"/>
    <w:rsid w:val="00497E26"/>
    <w:rsid w:val="004A02B3"/>
    <w:rsid w:val="004A045A"/>
    <w:rsid w:val="004A04AC"/>
    <w:rsid w:val="004A0582"/>
    <w:rsid w:val="004A0D07"/>
    <w:rsid w:val="004A1B82"/>
    <w:rsid w:val="004A2053"/>
    <w:rsid w:val="004A234D"/>
    <w:rsid w:val="004A2472"/>
    <w:rsid w:val="004A3499"/>
    <w:rsid w:val="004A3710"/>
    <w:rsid w:val="004A3931"/>
    <w:rsid w:val="004A3B80"/>
    <w:rsid w:val="004A42F6"/>
    <w:rsid w:val="004A4582"/>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7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3E4"/>
    <w:rsid w:val="004E0840"/>
    <w:rsid w:val="004E0ADE"/>
    <w:rsid w:val="004E0B93"/>
    <w:rsid w:val="004E0D39"/>
    <w:rsid w:val="004E0D91"/>
    <w:rsid w:val="004E12FD"/>
    <w:rsid w:val="004E1729"/>
    <w:rsid w:val="004E1940"/>
    <w:rsid w:val="004E26B2"/>
    <w:rsid w:val="004E276E"/>
    <w:rsid w:val="004E278C"/>
    <w:rsid w:val="004E2875"/>
    <w:rsid w:val="004E2B42"/>
    <w:rsid w:val="004E2B68"/>
    <w:rsid w:val="004E3005"/>
    <w:rsid w:val="004E3060"/>
    <w:rsid w:val="004E3124"/>
    <w:rsid w:val="004E31B5"/>
    <w:rsid w:val="004E38D7"/>
    <w:rsid w:val="004E3F55"/>
    <w:rsid w:val="004E4ACD"/>
    <w:rsid w:val="004E535A"/>
    <w:rsid w:val="004E5B9D"/>
    <w:rsid w:val="004E5ED9"/>
    <w:rsid w:val="004E720C"/>
    <w:rsid w:val="004E7C33"/>
    <w:rsid w:val="004F0292"/>
    <w:rsid w:val="004F04CA"/>
    <w:rsid w:val="004F056C"/>
    <w:rsid w:val="004F0A0C"/>
    <w:rsid w:val="004F0A3A"/>
    <w:rsid w:val="004F0CCC"/>
    <w:rsid w:val="004F1094"/>
    <w:rsid w:val="004F121A"/>
    <w:rsid w:val="004F15AA"/>
    <w:rsid w:val="004F1F37"/>
    <w:rsid w:val="004F2053"/>
    <w:rsid w:val="004F2BD0"/>
    <w:rsid w:val="004F30FE"/>
    <w:rsid w:val="004F31CA"/>
    <w:rsid w:val="004F3322"/>
    <w:rsid w:val="004F3664"/>
    <w:rsid w:val="004F3868"/>
    <w:rsid w:val="004F457D"/>
    <w:rsid w:val="004F4584"/>
    <w:rsid w:val="004F4776"/>
    <w:rsid w:val="004F55EF"/>
    <w:rsid w:val="004F5B82"/>
    <w:rsid w:val="004F65B1"/>
    <w:rsid w:val="004F667B"/>
    <w:rsid w:val="004F6810"/>
    <w:rsid w:val="004F682A"/>
    <w:rsid w:val="004F6C28"/>
    <w:rsid w:val="004F7DD6"/>
    <w:rsid w:val="0050038D"/>
    <w:rsid w:val="00500704"/>
    <w:rsid w:val="00501183"/>
    <w:rsid w:val="00501C43"/>
    <w:rsid w:val="00502112"/>
    <w:rsid w:val="0050353E"/>
    <w:rsid w:val="005036B1"/>
    <w:rsid w:val="0050383A"/>
    <w:rsid w:val="00503B3F"/>
    <w:rsid w:val="00503B95"/>
    <w:rsid w:val="00503BEA"/>
    <w:rsid w:val="00503C7F"/>
    <w:rsid w:val="00503E21"/>
    <w:rsid w:val="00504220"/>
    <w:rsid w:val="00504302"/>
    <w:rsid w:val="00504B69"/>
    <w:rsid w:val="00505096"/>
    <w:rsid w:val="005055DE"/>
    <w:rsid w:val="00505C14"/>
    <w:rsid w:val="00505D2B"/>
    <w:rsid w:val="00505F05"/>
    <w:rsid w:val="00506397"/>
    <w:rsid w:val="00506C52"/>
    <w:rsid w:val="00506D72"/>
    <w:rsid w:val="00506FC3"/>
    <w:rsid w:val="005075EB"/>
    <w:rsid w:val="00507795"/>
    <w:rsid w:val="00507AC9"/>
    <w:rsid w:val="00510337"/>
    <w:rsid w:val="00510787"/>
    <w:rsid w:val="00510D09"/>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972"/>
    <w:rsid w:val="00520A65"/>
    <w:rsid w:val="00520BEC"/>
    <w:rsid w:val="005214A4"/>
    <w:rsid w:val="00521766"/>
    <w:rsid w:val="0052177B"/>
    <w:rsid w:val="0052201B"/>
    <w:rsid w:val="00522872"/>
    <w:rsid w:val="00522959"/>
    <w:rsid w:val="00522D96"/>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4B6"/>
    <w:rsid w:val="0055275A"/>
    <w:rsid w:val="0055278D"/>
    <w:rsid w:val="00552998"/>
    <w:rsid w:val="00552B0A"/>
    <w:rsid w:val="0055418B"/>
    <w:rsid w:val="00554754"/>
    <w:rsid w:val="00554AF5"/>
    <w:rsid w:val="00554BFE"/>
    <w:rsid w:val="00554D8E"/>
    <w:rsid w:val="00555126"/>
    <w:rsid w:val="00556797"/>
    <w:rsid w:val="00556D59"/>
    <w:rsid w:val="00556E27"/>
    <w:rsid w:val="00557386"/>
    <w:rsid w:val="00557B6D"/>
    <w:rsid w:val="00557CBC"/>
    <w:rsid w:val="005608AD"/>
    <w:rsid w:val="00560D81"/>
    <w:rsid w:val="00561C42"/>
    <w:rsid w:val="00561FBA"/>
    <w:rsid w:val="00562426"/>
    <w:rsid w:val="005624D4"/>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C9E"/>
    <w:rsid w:val="00584F1B"/>
    <w:rsid w:val="005850D9"/>
    <w:rsid w:val="00585476"/>
    <w:rsid w:val="00585639"/>
    <w:rsid w:val="005856BC"/>
    <w:rsid w:val="00585783"/>
    <w:rsid w:val="0058585B"/>
    <w:rsid w:val="0058591F"/>
    <w:rsid w:val="00585920"/>
    <w:rsid w:val="00585F19"/>
    <w:rsid w:val="00586451"/>
    <w:rsid w:val="00586586"/>
    <w:rsid w:val="005868BF"/>
    <w:rsid w:val="00586ECB"/>
    <w:rsid w:val="005872AC"/>
    <w:rsid w:val="00587D0D"/>
    <w:rsid w:val="00590138"/>
    <w:rsid w:val="005902F7"/>
    <w:rsid w:val="005903E2"/>
    <w:rsid w:val="00591246"/>
    <w:rsid w:val="0059141B"/>
    <w:rsid w:val="0059154A"/>
    <w:rsid w:val="005916C0"/>
    <w:rsid w:val="00591A92"/>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254"/>
    <w:rsid w:val="005A052C"/>
    <w:rsid w:val="005A0E19"/>
    <w:rsid w:val="005A178F"/>
    <w:rsid w:val="005A1BDC"/>
    <w:rsid w:val="005A1C02"/>
    <w:rsid w:val="005A2876"/>
    <w:rsid w:val="005A2EB6"/>
    <w:rsid w:val="005A2F98"/>
    <w:rsid w:val="005A3B98"/>
    <w:rsid w:val="005A3DD3"/>
    <w:rsid w:val="005A3F94"/>
    <w:rsid w:val="005A4757"/>
    <w:rsid w:val="005A4E52"/>
    <w:rsid w:val="005A5DA2"/>
    <w:rsid w:val="005A5FD9"/>
    <w:rsid w:val="005A63AE"/>
    <w:rsid w:val="005A6D1E"/>
    <w:rsid w:val="005A7374"/>
    <w:rsid w:val="005A753E"/>
    <w:rsid w:val="005B01F4"/>
    <w:rsid w:val="005B0375"/>
    <w:rsid w:val="005B05A2"/>
    <w:rsid w:val="005B05DC"/>
    <w:rsid w:val="005B06A0"/>
    <w:rsid w:val="005B0909"/>
    <w:rsid w:val="005B09DE"/>
    <w:rsid w:val="005B0C6B"/>
    <w:rsid w:val="005B1017"/>
    <w:rsid w:val="005B1471"/>
    <w:rsid w:val="005B16E8"/>
    <w:rsid w:val="005B18A6"/>
    <w:rsid w:val="005B2057"/>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A95"/>
    <w:rsid w:val="005B5C1E"/>
    <w:rsid w:val="005B6395"/>
    <w:rsid w:val="005B6581"/>
    <w:rsid w:val="005B67CA"/>
    <w:rsid w:val="005B6B1C"/>
    <w:rsid w:val="005B73FC"/>
    <w:rsid w:val="005B795D"/>
    <w:rsid w:val="005C0714"/>
    <w:rsid w:val="005C1109"/>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9A5"/>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10"/>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69E"/>
    <w:rsid w:val="00602C72"/>
    <w:rsid w:val="00602E09"/>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3C"/>
    <w:rsid w:val="006111A4"/>
    <w:rsid w:val="00612759"/>
    <w:rsid w:val="00612852"/>
    <w:rsid w:val="0061343F"/>
    <w:rsid w:val="00613DF2"/>
    <w:rsid w:val="006146C3"/>
    <w:rsid w:val="00614744"/>
    <w:rsid w:val="0061493F"/>
    <w:rsid w:val="006149AF"/>
    <w:rsid w:val="006149EE"/>
    <w:rsid w:val="00614D5A"/>
    <w:rsid w:val="00614F04"/>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278"/>
    <w:rsid w:val="00622A37"/>
    <w:rsid w:val="006236FB"/>
    <w:rsid w:val="00623E6F"/>
    <w:rsid w:val="00624704"/>
    <w:rsid w:val="0062473F"/>
    <w:rsid w:val="00624FA3"/>
    <w:rsid w:val="006254AE"/>
    <w:rsid w:val="00625980"/>
    <w:rsid w:val="00626359"/>
    <w:rsid w:val="006265F9"/>
    <w:rsid w:val="006278A9"/>
    <w:rsid w:val="00627F46"/>
    <w:rsid w:val="0063006A"/>
    <w:rsid w:val="0063006B"/>
    <w:rsid w:val="00630562"/>
    <w:rsid w:val="006305E4"/>
    <w:rsid w:val="00630D13"/>
    <w:rsid w:val="006311CC"/>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1"/>
    <w:rsid w:val="00633D89"/>
    <w:rsid w:val="00633EDC"/>
    <w:rsid w:val="00634EF3"/>
    <w:rsid w:val="0063503D"/>
    <w:rsid w:val="006351DF"/>
    <w:rsid w:val="0063552B"/>
    <w:rsid w:val="00635546"/>
    <w:rsid w:val="006357F5"/>
    <w:rsid w:val="00635C2D"/>
    <w:rsid w:val="00635C30"/>
    <w:rsid w:val="00636962"/>
    <w:rsid w:val="00636F57"/>
    <w:rsid w:val="00637AC6"/>
    <w:rsid w:val="00637CAA"/>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31F"/>
    <w:rsid w:val="00646B64"/>
    <w:rsid w:val="00646BAC"/>
    <w:rsid w:val="00646D5D"/>
    <w:rsid w:val="006471C0"/>
    <w:rsid w:val="00647EE6"/>
    <w:rsid w:val="00650025"/>
    <w:rsid w:val="0065019F"/>
    <w:rsid w:val="00650671"/>
    <w:rsid w:val="00650F06"/>
    <w:rsid w:val="00651A24"/>
    <w:rsid w:val="00651A56"/>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5C3"/>
    <w:rsid w:val="006567E2"/>
    <w:rsid w:val="00656BE7"/>
    <w:rsid w:val="00656DDD"/>
    <w:rsid w:val="00656E90"/>
    <w:rsid w:val="006571C9"/>
    <w:rsid w:val="00657346"/>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AF"/>
    <w:rsid w:val="00673EF2"/>
    <w:rsid w:val="0067607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49C"/>
    <w:rsid w:val="00684BD5"/>
    <w:rsid w:val="00684EFE"/>
    <w:rsid w:val="006859B0"/>
    <w:rsid w:val="00685A8C"/>
    <w:rsid w:val="00685C22"/>
    <w:rsid w:val="00685E2C"/>
    <w:rsid w:val="0068636D"/>
    <w:rsid w:val="00686771"/>
    <w:rsid w:val="00686AF5"/>
    <w:rsid w:val="00686F43"/>
    <w:rsid w:val="0068732E"/>
    <w:rsid w:val="006875A9"/>
    <w:rsid w:val="0069051A"/>
    <w:rsid w:val="006907CC"/>
    <w:rsid w:val="00691160"/>
    <w:rsid w:val="00691B92"/>
    <w:rsid w:val="006922E4"/>
    <w:rsid w:val="006926F6"/>
    <w:rsid w:val="00692FF9"/>
    <w:rsid w:val="006932A5"/>
    <w:rsid w:val="00693579"/>
    <w:rsid w:val="00693654"/>
    <w:rsid w:val="00694207"/>
    <w:rsid w:val="00694915"/>
    <w:rsid w:val="00694B56"/>
    <w:rsid w:val="00694EF6"/>
    <w:rsid w:val="00695402"/>
    <w:rsid w:val="00695603"/>
    <w:rsid w:val="0069629D"/>
    <w:rsid w:val="0069652C"/>
    <w:rsid w:val="0069657D"/>
    <w:rsid w:val="00696612"/>
    <w:rsid w:val="0069757B"/>
    <w:rsid w:val="006A0045"/>
    <w:rsid w:val="006A00CC"/>
    <w:rsid w:val="006A030A"/>
    <w:rsid w:val="006A0319"/>
    <w:rsid w:val="006A04DA"/>
    <w:rsid w:val="006A09A5"/>
    <w:rsid w:val="006A0F7E"/>
    <w:rsid w:val="006A1265"/>
    <w:rsid w:val="006A2465"/>
    <w:rsid w:val="006A260C"/>
    <w:rsid w:val="006A271F"/>
    <w:rsid w:val="006A2EA9"/>
    <w:rsid w:val="006A336B"/>
    <w:rsid w:val="006A380B"/>
    <w:rsid w:val="006A38DF"/>
    <w:rsid w:val="006A3DBE"/>
    <w:rsid w:val="006A4072"/>
    <w:rsid w:val="006A44E5"/>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0CA"/>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3C"/>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2A"/>
    <w:rsid w:val="006D6C2F"/>
    <w:rsid w:val="006D6D2C"/>
    <w:rsid w:val="006D6DCC"/>
    <w:rsid w:val="006D7006"/>
    <w:rsid w:val="006D75BA"/>
    <w:rsid w:val="006D7C1C"/>
    <w:rsid w:val="006E0316"/>
    <w:rsid w:val="006E06F5"/>
    <w:rsid w:val="006E0921"/>
    <w:rsid w:val="006E09CC"/>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22C"/>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539"/>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2EA"/>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466F"/>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A27"/>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67CA7"/>
    <w:rsid w:val="007701FE"/>
    <w:rsid w:val="007705DA"/>
    <w:rsid w:val="00770798"/>
    <w:rsid w:val="007708BD"/>
    <w:rsid w:val="00772C82"/>
    <w:rsid w:val="007733B6"/>
    <w:rsid w:val="007734B0"/>
    <w:rsid w:val="00773520"/>
    <w:rsid w:val="00773F15"/>
    <w:rsid w:val="0077629F"/>
    <w:rsid w:val="00776451"/>
    <w:rsid w:val="00776719"/>
    <w:rsid w:val="00776C45"/>
    <w:rsid w:val="00777D49"/>
    <w:rsid w:val="00777F2C"/>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7A"/>
    <w:rsid w:val="00785BE4"/>
    <w:rsid w:val="0078608F"/>
    <w:rsid w:val="0078632C"/>
    <w:rsid w:val="00786640"/>
    <w:rsid w:val="00786C71"/>
    <w:rsid w:val="00786F06"/>
    <w:rsid w:val="007870EA"/>
    <w:rsid w:val="00787DE3"/>
    <w:rsid w:val="00787E9A"/>
    <w:rsid w:val="00787EAD"/>
    <w:rsid w:val="00787FF3"/>
    <w:rsid w:val="00790269"/>
    <w:rsid w:val="0079067A"/>
    <w:rsid w:val="00790A33"/>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467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3DC"/>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AE8"/>
    <w:rsid w:val="007B7BEE"/>
    <w:rsid w:val="007B7CED"/>
    <w:rsid w:val="007C06F7"/>
    <w:rsid w:val="007C0CDC"/>
    <w:rsid w:val="007C112E"/>
    <w:rsid w:val="007C152E"/>
    <w:rsid w:val="007C185D"/>
    <w:rsid w:val="007C1B19"/>
    <w:rsid w:val="007C1CDC"/>
    <w:rsid w:val="007C2048"/>
    <w:rsid w:val="007C2104"/>
    <w:rsid w:val="007C21F3"/>
    <w:rsid w:val="007C2648"/>
    <w:rsid w:val="007C2BDE"/>
    <w:rsid w:val="007C2EB2"/>
    <w:rsid w:val="007C3170"/>
    <w:rsid w:val="007C31D6"/>
    <w:rsid w:val="007C34E3"/>
    <w:rsid w:val="007C365D"/>
    <w:rsid w:val="007C3A3A"/>
    <w:rsid w:val="007C3A70"/>
    <w:rsid w:val="007C3A84"/>
    <w:rsid w:val="007C3B55"/>
    <w:rsid w:val="007C4562"/>
    <w:rsid w:val="007C47D3"/>
    <w:rsid w:val="007C4CAA"/>
    <w:rsid w:val="007C568E"/>
    <w:rsid w:val="007C59E1"/>
    <w:rsid w:val="007C5F85"/>
    <w:rsid w:val="007C5F8B"/>
    <w:rsid w:val="007C604C"/>
    <w:rsid w:val="007C665B"/>
    <w:rsid w:val="007C6B88"/>
    <w:rsid w:val="007C73EC"/>
    <w:rsid w:val="007C747D"/>
    <w:rsid w:val="007C7DD2"/>
    <w:rsid w:val="007D02B7"/>
    <w:rsid w:val="007D0848"/>
    <w:rsid w:val="007D0AD3"/>
    <w:rsid w:val="007D0E14"/>
    <w:rsid w:val="007D10D3"/>
    <w:rsid w:val="007D12CD"/>
    <w:rsid w:val="007D1C85"/>
    <w:rsid w:val="007D203E"/>
    <w:rsid w:val="007D20C3"/>
    <w:rsid w:val="007D25DE"/>
    <w:rsid w:val="007D2772"/>
    <w:rsid w:val="007D2948"/>
    <w:rsid w:val="007D2E5F"/>
    <w:rsid w:val="007D3631"/>
    <w:rsid w:val="007D418B"/>
    <w:rsid w:val="007D4477"/>
    <w:rsid w:val="007D4596"/>
    <w:rsid w:val="007D4CE5"/>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9E1"/>
    <w:rsid w:val="007E4DB5"/>
    <w:rsid w:val="007E50CA"/>
    <w:rsid w:val="007E5131"/>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73F"/>
    <w:rsid w:val="00802F91"/>
    <w:rsid w:val="00803974"/>
    <w:rsid w:val="00803B8D"/>
    <w:rsid w:val="00803C9D"/>
    <w:rsid w:val="00804501"/>
    <w:rsid w:val="00804D84"/>
    <w:rsid w:val="00804FB1"/>
    <w:rsid w:val="00805A05"/>
    <w:rsid w:val="00805B4B"/>
    <w:rsid w:val="00805BB4"/>
    <w:rsid w:val="00806205"/>
    <w:rsid w:val="008067ED"/>
    <w:rsid w:val="00806FC7"/>
    <w:rsid w:val="00807E59"/>
    <w:rsid w:val="0081013B"/>
    <w:rsid w:val="00810471"/>
    <w:rsid w:val="00810C06"/>
    <w:rsid w:val="00810FBD"/>
    <w:rsid w:val="008114E6"/>
    <w:rsid w:val="00811898"/>
    <w:rsid w:val="00811EBF"/>
    <w:rsid w:val="008120E9"/>
    <w:rsid w:val="00812775"/>
    <w:rsid w:val="008127D7"/>
    <w:rsid w:val="00812A23"/>
    <w:rsid w:val="00813087"/>
    <w:rsid w:val="00813481"/>
    <w:rsid w:val="00814340"/>
    <w:rsid w:val="00814486"/>
    <w:rsid w:val="0081481F"/>
    <w:rsid w:val="00814CF3"/>
    <w:rsid w:val="00814DEB"/>
    <w:rsid w:val="0081502E"/>
    <w:rsid w:val="00815184"/>
    <w:rsid w:val="008155C2"/>
    <w:rsid w:val="0081571E"/>
    <w:rsid w:val="00815C47"/>
    <w:rsid w:val="00815E41"/>
    <w:rsid w:val="00816614"/>
    <w:rsid w:val="00816980"/>
    <w:rsid w:val="0081748F"/>
    <w:rsid w:val="00817968"/>
    <w:rsid w:val="00817991"/>
    <w:rsid w:val="00817ACD"/>
    <w:rsid w:val="00820814"/>
    <w:rsid w:val="0082093D"/>
    <w:rsid w:val="00820D18"/>
    <w:rsid w:val="008214FD"/>
    <w:rsid w:val="00821656"/>
    <w:rsid w:val="00821C40"/>
    <w:rsid w:val="00821C85"/>
    <w:rsid w:val="00821F34"/>
    <w:rsid w:val="008225B0"/>
    <w:rsid w:val="00822FC6"/>
    <w:rsid w:val="008233BD"/>
    <w:rsid w:val="0082343F"/>
    <w:rsid w:val="00823B34"/>
    <w:rsid w:val="008240E3"/>
    <w:rsid w:val="0082433E"/>
    <w:rsid w:val="00824365"/>
    <w:rsid w:val="0082465F"/>
    <w:rsid w:val="00824938"/>
    <w:rsid w:val="0082509D"/>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022"/>
    <w:rsid w:val="00831E8C"/>
    <w:rsid w:val="00832B0B"/>
    <w:rsid w:val="00832B2B"/>
    <w:rsid w:val="008330E1"/>
    <w:rsid w:val="00833595"/>
    <w:rsid w:val="00833CA6"/>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4794D"/>
    <w:rsid w:val="00850899"/>
    <w:rsid w:val="00850A21"/>
    <w:rsid w:val="00850E79"/>
    <w:rsid w:val="0085105B"/>
    <w:rsid w:val="00851565"/>
    <w:rsid w:val="00851697"/>
    <w:rsid w:val="0085193A"/>
    <w:rsid w:val="00851990"/>
    <w:rsid w:val="00851FE0"/>
    <w:rsid w:val="00852479"/>
    <w:rsid w:val="008527EC"/>
    <w:rsid w:val="00852BAD"/>
    <w:rsid w:val="008533D5"/>
    <w:rsid w:val="00853864"/>
    <w:rsid w:val="00853D8B"/>
    <w:rsid w:val="00853FDF"/>
    <w:rsid w:val="008543C1"/>
    <w:rsid w:val="008545C4"/>
    <w:rsid w:val="00854664"/>
    <w:rsid w:val="008546EE"/>
    <w:rsid w:val="00854BBD"/>
    <w:rsid w:val="00855D2B"/>
    <w:rsid w:val="008564B7"/>
    <w:rsid w:val="00856FE1"/>
    <w:rsid w:val="008578EE"/>
    <w:rsid w:val="00857F47"/>
    <w:rsid w:val="00860096"/>
    <w:rsid w:val="008606DE"/>
    <w:rsid w:val="0086079F"/>
    <w:rsid w:val="00860D2D"/>
    <w:rsid w:val="00860D61"/>
    <w:rsid w:val="0086104E"/>
    <w:rsid w:val="00861170"/>
    <w:rsid w:val="008614FB"/>
    <w:rsid w:val="0086158A"/>
    <w:rsid w:val="00862670"/>
    <w:rsid w:val="00862CA1"/>
    <w:rsid w:val="00862DB9"/>
    <w:rsid w:val="00862EAB"/>
    <w:rsid w:val="00862FD5"/>
    <w:rsid w:val="0086320E"/>
    <w:rsid w:val="008632F1"/>
    <w:rsid w:val="008634E3"/>
    <w:rsid w:val="008637B1"/>
    <w:rsid w:val="008648C3"/>
    <w:rsid w:val="00864C20"/>
    <w:rsid w:val="00864D19"/>
    <w:rsid w:val="008651CA"/>
    <w:rsid w:val="0086593D"/>
    <w:rsid w:val="00865EE9"/>
    <w:rsid w:val="008660FB"/>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1B0"/>
    <w:rsid w:val="0087420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A51"/>
    <w:rsid w:val="00877C74"/>
    <w:rsid w:val="0088061A"/>
    <w:rsid w:val="0088078A"/>
    <w:rsid w:val="0088091C"/>
    <w:rsid w:val="00880BB2"/>
    <w:rsid w:val="00880C11"/>
    <w:rsid w:val="008811F2"/>
    <w:rsid w:val="0088149B"/>
    <w:rsid w:val="00881B76"/>
    <w:rsid w:val="00881D88"/>
    <w:rsid w:val="008820D3"/>
    <w:rsid w:val="00882347"/>
    <w:rsid w:val="0088263E"/>
    <w:rsid w:val="00882654"/>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87CAB"/>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110"/>
    <w:rsid w:val="008955CC"/>
    <w:rsid w:val="00895970"/>
    <w:rsid w:val="00895A30"/>
    <w:rsid w:val="00896268"/>
    <w:rsid w:val="00896625"/>
    <w:rsid w:val="008967BB"/>
    <w:rsid w:val="00896AC6"/>
    <w:rsid w:val="00896C74"/>
    <w:rsid w:val="00897C59"/>
    <w:rsid w:val="00897EA4"/>
    <w:rsid w:val="00897F60"/>
    <w:rsid w:val="008A0647"/>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6E51"/>
    <w:rsid w:val="008A724C"/>
    <w:rsid w:val="008A73C9"/>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0DA"/>
    <w:rsid w:val="008C25DE"/>
    <w:rsid w:val="008C27D0"/>
    <w:rsid w:val="008C2CBD"/>
    <w:rsid w:val="008C385D"/>
    <w:rsid w:val="008C3A56"/>
    <w:rsid w:val="008C3A5E"/>
    <w:rsid w:val="008C40EA"/>
    <w:rsid w:val="008C43FD"/>
    <w:rsid w:val="008C4BFC"/>
    <w:rsid w:val="008C5DD5"/>
    <w:rsid w:val="008C5DFE"/>
    <w:rsid w:val="008C63A9"/>
    <w:rsid w:val="008C6959"/>
    <w:rsid w:val="008C7984"/>
    <w:rsid w:val="008D1222"/>
    <w:rsid w:val="008D17CC"/>
    <w:rsid w:val="008D2073"/>
    <w:rsid w:val="008D27C9"/>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0A8A"/>
    <w:rsid w:val="008E2130"/>
    <w:rsid w:val="008E27D6"/>
    <w:rsid w:val="008E29DF"/>
    <w:rsid w:val="008E2CE1"/>
    <w:rsid w:val="008E381B"/>
    <w:rsid w:val="008E3933"/>
    <w:rsid w:val="008E39F2"/>
    <w:rsid w:val="008E49C5"/>
    <w:rsid w:val="008E4DB8"/>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05DC"/>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8F72C3"/>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3F87"/>
    <w:rsid w:val="0090404B"/>
    <w:rsid w:val="009040AA"/>
    <w:rsid w:val="009043AD"/>
    <w:rsid w:val="00904516"/>
    <w:rsid w:val="009048A6"/>
    <w:rsid w:val="00904A03"/>
    <w:rsid w:val="00904AE7"/>
    <w:rsid w:val="00904B7B"/>
    <w:rsid w:val="00904F50"/>
    <w:rsid w:val="00905998"/>
    <w:rsid w:val="009059C1"/>
    <w:rsid w:val="00905AEB"/>
    <w:rsid w:val="00905C7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1E4C"/>
    <w:rsid w:val="00911F54"/>
    <w:rsid w:val="00912180"/>
    <w:rsid w:val="009125BF"/>
    <w:rsid w:val="00912FA1"/>
    <w:rsid w:val="009135D6"/>
    <w:rsid w:val="0091459E"/>
    <w:rsid w:val="00914893"/>
    <w:rsid w:val="00914ADE"/>
    <w:rsid w:val="00914BDA"/>
    <w:rsid w:val="00914DB7"/>
    <w:rsid w:val="00915694"/>
    <w:rsid w:val="00915754"/>
    <w:rsid w:val="00915B2C"/>
    <w:rsid w:val="00915B79"/>
    <w:rsid w:val="00915D24"/>
    <w:rsid w:val="00915F5F"/>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63A"/>
    <w:rsid w:val="00927ACC"/>
    <w:rsid w:val="00930143"/>
    <w:rsid w:val="0093018E"/>
    <w:rsid w:val="009305F8"/>
    <w:rsid w:val="009319E0"/>
    <w:rsid w:val="009320BA"/>
    <w:rsid w:val="00932C01"/>
    <w:rsid w:val="00932EFC"/>
    <w:rsid w:val="0093337A"/>
    <w:rsid w:val="00933705"/>
    <w:rsid w:val="0093381F"/>
    <w:rsid w:val="00933D48"/>
    <w:rsid w:val="009345E9"/>
    <w:rsid w:val="009346FA"/>
    <w:rsid w:val="00934B0C"/>
    <w:rsid w:val="00934B4B"/>
    <w:rsid w:val="0093503B"/>
    <w:rsid w:val="0093509E"/>
    <w:rsid w:val="00935736"/>
    <w:rsid w:val="00935741"/>
    <w:rsid w:val="00935D44"/>
    <w:rsid w:val="009360C5"/>
    <w:rsid w:val="00936AA2"/>
    <w:rsid w:val="00936F97"/>
    <w:rsid w:val="00937388"/>
    <w:rsid w:val="009373AA"/>
    <w:rsid w:val="0093768A"/>
    <w:rsid w:val="0093776E"/>
    <w:rsid w:val="009379A8"/>
    <w:rsid w:val="00937D3C"/>
    <w:rsid w:val="00940793"/>
    <w:rsid w:val="009408D3"/>
    <w:rsid w:val="00940FA8"/>
    <w:rsid w:val="0094113C"/>
    <w:rsid w:val="00942068"/>
    <w:rsid w:val="0094233D"/>
    <w:rsid w:val="0094243A"/>
    <w:rsid w:val="0094282E"/>
    <w:rsid w:val="009428B9"/>
    <w:rsid w:val="00943735"/>
    <w:rsid w:val="0094374D"/>
    <w:rsid w:val="00943C6D"/>
    <w:rsid w:val="00944052"/>
    <w:rsid w:val="00944E73"/>
    <w:rsid w:val="0094566D"/>
    <w:rsid w:val="0094596E"/>
    <w:rsid w:val="00945A13"/>
    <w:rsid w:val="00945A4F"/>
    <w:rsid w:val="00945B18"/>
    <w:rsid w:val="00946A5C"/>
    <w:rsid w:val="00946BD9"/>
    <w:rsid w:val="009471BE"/>
    <w:rsid w:val="00947748"/>
    <w:rsid w:val="00947EA1"/>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116"/>
    <w:rsid w:val="009542AB"/>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BC7"/>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7B7"/>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0FC6"/>
    <w:rsid w:val="009716EE"/>
    <w:rsid w:val="00971914"/>
    <w:rsid w:val="00972446"/>
    <w:rsid w:val="009724FF"/>
    <w:rsid w:val="0097280D"/>
    <w:rsid w:val="009736B2"/>
    <w:rsid w:val="00973E7F"/>
    <w:rsid w:val="00973FBB"/>
    <w:rsid w:val="009743C9"/>
    <w:rsid w:val="00974A65"/>
    <w:rsid w:val="00974D54"/>
    <w:rsid w:val="00975AA8"/>
    <w:rsid w:val="00976147"/>
    <w:rsid w:val="009761BA"/>
    <w:rsid w:val="00976800"/>
    <w:rsid w:val="00976A35"/>
    <w:rsid w:val="00976C9F"/>
    <w:rsid w:val="00976D49"/>
    <w:rsid w:val="00976ECA"/>
    <w:rsid w:val="009771AE"/>
    <w:rsid w:val="009778AD"/>
    <w:rsid w:val="00977C42"/>
    <w:rsid w:val="00977D29"/>
    <w:rsid w:val="00977E0A"/>
    <w:rsid w:val="009800B8"/>
    <w:rsid w:val="009802A1"/>
    <w:rsid w:val="009803B4"/>
    <w:rsid w:val="009804A0"/>
    <w:rsid w:val="0098104F"/>
    <w:rsid w:val="009813B6"/>
    <w:rsid w:val="00981C6F"/>
    <w:rsid w:val="00982550"/>
    <w:rsid w:val="0098260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53D"/>
    <w:rsid w:val="009916E3"/>
    <w:rsid w:val="00991881"/>
    <w:rsid w:val="0099194B"/>
    <w:rsid w:val="00991BA5"/>
    <w:rsid w:val="00991BB0"/>
    <w:rsid w:val="00991FCE"/>
    <w:rsid w:val="00992124"/>
    <w:rsid w:val="009927B3"/>
    <w:rsid w:val="00993667"/>
    <w:rsid w:val="00993B89"/>
    <w:rsid w:val="00993E57"/>
    <w:rsid w:val="00993EFE"/>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52E"/>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8ED"/>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FB8"/>
    <w:rsid w:val="009E3195"/>
    <w:rsid w:val="009E32CD"/>
    <w:rsid w:val="009E3E13"/>
    <w:rsid w:val="009E45AE"/>
    <w:rsid w:val="009E46AD"/>
    <w:rsid w:val="009E4EBE"/>
    <w:rsid w:val="009E4ECC"/>
    <w:rsid w:val="009E5023"/>
    <w:rsid w:val="009E52D4"/>
    <w:rsid w:val="009E6789"/>
    <w:rsid w:val="009E6C67"/>
    <w:rsid w:val="009E71BB"/>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9F7A94"/>
    <w:rsid w:val="00A0020E"/>
    <w:rsid w:val="00A002D9"/>
    <w:rsid w:val="00A00C70"/>
    <w:rsid w:val="00A00EA8"/>
    <w:rsid w:val="00A0110E"/>
    <w:rsid w:val="00A024D7"/>
    <w:rsid w:val="00A02B96"/>
    <w:rsid w:val="00A0319C"/>
    <w:rsid w:val="00A03A3D"/>
    <w:rsid w:val="00A03B6F"/>
    <w:rsid w:val="00A03C62"/>
    <w:rsid w:val="00A04694"/>
    <w:rsid w:val="00A04744"/>
    <w:rsid w:val="00A04BBF"/>
    <w:rsid w:val="00A04D1C"/>
    <w:rsid w:val="00A05AA6"/>
    <w:rsid w:val="00A05C6A"/>
    <w:rsid w:val="00A060E5"/>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6CEC"/>
    <w:rsid w:val="00A27BA6"/>
    <w:rsid w:val="00A27EB3"/>
    <w:rsid w:val="00A27EBA"/>
    <w:rsid w:val="00A3021E"/>
    <w:rsid w:val="00A3025D"/>
    <w:rsid w:val="00A30AA3"/>
    <w:rsid w:val="00A30E19"/>
    <w:rsid w:val="00A31004"/>
    <w:rsid w:val="00A3164D"/>
    <w:rsid w:val="00A31B0F"/>
    <w:rsid w:val="00A31B62"/>
    <w:rsid w:val="00A32BF2"/>
    <w:rsid w:val="00A32E4B"/>
    <w:rsid w:val="00A33143"/>
    <w:rsid w:val="00A338C7"/>
    <w:rsid w:val="00A34735"/>
    <w:rsid w:val="00A34E2D"/>
    <w:rsid w:val="00A34F85"/>
    <w:rsid w:val="00A355CD"/>
    <w:rsid w:val="00A35F34"/>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1A6"/>
    <w:rsid w:val="00A43741"/>
    <w:rsid w:val="00A44368"/>
    <w:rsid w:val="00A444CE"/>
    <w:rsid w:val="00A44988"/>
    <w:rsid w:val="00A44A73"/>
    <w:rsid w:val="00A44FEB"/>
    <w:rsid w:val="00A45A1C"/>
    <w:rsid w:val="00A45BAD"/>
    <w:rsid w:val="00A4669D"/>
    <w:rsid w:val="00A46873"/>
    <w:rsid w:val="00A47196"/>
    <w:rsid w:val="00A473BB"/>
    <w:rsid w:val="00A473DA"/>
    <w:rsid w:val="00A47BE3"/>
    <w:rsid w:val="00A47D1A"/>
    <w:rsid w:val="00A47D7C"/>
    <w:rsid w:val="00A5120F"/>
    <w:rsid w:val="00A5131D"/>
    <w:rsid w:val="00A513A0"/>
    <w:rsid w:val="00A51814"/>
    <w:rsid w:val="00A51D26"/>
    <w:rsid w:val="00A51E4C"/>
    <w:rsid w:val="00A52D7F"/>
    <w:rsid w:val="00A530C1"/>
    <w:rsid w:val="00A532B5"/>
    <w:rsid w:val="00A53488"/>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BD6"/>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7BA"/>
    <w:rsid w:val="00A80859"/>
    <w:rsid w:val="00A80AF6"/>
    <w:rsid w:val="00A80B43"/>
    <w:rsid w:val="00A80F15"/>
    <w:rsid w:val="00A8147F"/>
    <w:rsid w:val="00A815A2"/>
    <w:rsid w:val="00A81784"/>
    <w:rsid w:val="00A81F3F"/>
    <w:rsid w:val="00A8224A"/>
    <w:rsid w:val="00A82BB9"/>
    <w:rsid w:val="00A838B5"/>
    <w:rsid w:val="00A838CE"/>
    <w:rsid w:val="00A83FCE"/>
    <w:rsid w:val="00A8462F"/>
    <w:rsid w:val="00A84C20"/>
    <w:rsid w:val="00A859B8"/>
    <w:rsid w:val="00A85F0E"/>
    <w:rsid w:val="00A860F8"/>
    <w:rsid w:val="00A86F71"/>
    <w:rsid w:val="00A87544"/>
    <w:rsid w:val="00A8761E"/>
    <w:rsid w:val="00A87778"/>
    <w:rsid w:val="00A877E0"/>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720"/>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CFA"/>
    <w:rsid w:val="00AA2E06"/>
    <w:rsid w:val="00AA3BB0"/>
    <w:rsid w:val="00AA3D43"/>
    <w:rsid w:val="00AA3D58"/>
    <w:rsid w:val="00AA418B"/>
    <w:rsid w:val="00AA421A"/>
    <w:rsid w:val="00AA439D"/>
    <w:rsid w:val="00AA46C0"/>
    <w:rsid w:val="00AA48E7"/>
    <w:rsid w:val="00AA49A0"/>
    <w:rsid w:val="00AA502A"/>
    <w:rsid w:val="00AA50DE"/>
    <w:rsid w:val="00AA549F"/>
    <w:rsid w:val="00AA5749"/>
    <w:rsid w:val="00AA5D6F"/>
    <w:rsid w:val="00AA5FBD"/>
    <w:rsid w:val="00AA6384"/>
    <w:rsid w:val="00AA6BE2"/>
    <w:rsid w:val="00AA71A4"/>
    <w:rsid w:val="00AA7235"/>
    <w:rsid w:val="00AA7D77"/>
    <w:rsid w:val="00AB06F9"/>
    <w:rsid w:val="00AB08ED"/>
    <w:rsid w:val="00AB0A64"/>
    <w:rsid w:val="00AB0CD5"/>
    <w:rsid w:val="00AB24C1"/>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1E5"/>
    <w:rsid w:val="00AC4B16"/>
    <w:rsid w:val="00AC4E86"/>
    <w:rsid w:val="00AC5148"/>
    <w:rsid w:val="00AC5273"/>
    <w:rsid w:val="00AC5D77"/>
    <w:rsid w:val="00AC5ED9"/>
    <w:rsid w:val="00AC65BF"/>
    <w:rsid w:val="00AC6605"/>
    <w:rsid w:val="00AC664B"/>
    <w:rsid w:val="00AC67BD"/>
    <w:rsid w:val="00AC7632"/>
    <w:rsid w:val="00AD053D"/>
    <w:rsid w:val="00AD05B5"/>
    <w:rsid w:val="00AD07BB"/>
    <w:rsid w:val="00AD0B0F"/>
    <w:rsid w:val="00AD0FAA"/>
    <w:rsid w:val="00AD220B"/>
    <w:rsid w:val="00AD254E"/>
    <w:rsid w:val="00AD2932"/>
    <w:rsid w:val="00AD2A65"/>
    <w:rsid w:val="00AD2E0C"/>
    <w:rsid w:val="00AD35A7"/>
    <w:rsid w:val="00AD4217"/>
    <w:rsid w:val="00AD4569"/>
    <w:rsid w:val="00AD46FC"/>
    <w:rsid w:val="00AD47CC"/>
    <w:rsid w:val="00AD4ECE"/>
    <w:rsid w:val="00AD4F30"/>
    <w:rsid w:val="00AD4F8E"/>
    <w:rsid w:val="00AD54A7"/>
    <w:rsid w:val="00AD5532"/>
    <w:rsid w:val="00AD56A0"/>
    <w:rsid w:val="00AD59DD"/>
    <w:rsid w:val="00AD5AA8"/>
    <w:rsid w:val="00AD6B2C"/>
    <w:rsid w:val="00AD6F2A"/>
    <w:rsid w:val="00AE0080"/>
    <w:rsid w:val="00AE00E1"/>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B0"/>
    <w:rsid w:val="00AE5CF4"/>
    <w:rsid w:val="00AE6907"/>
    <w:rsid w:val="00AE6B53"/>
    <w:rsid w:val="00AE6D29"/>
    <w:rsid w:val="00AE6D42"/>
    <w:rsid w:val="00AE6F50"/>
    <w:rsid w:val="00AE72CF"/>
    <w:rsid w:val="00AE758F"/>
    <w:rsid w:val="00AE76AB"/>
    <w:rsid w:val="00AE7856"/>
    <w:rsid w:val="00AF0067"/>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3E3"/>
    <w:rsid w:val="00AF450D"/>
    <w:rsid w:val="00AF46CC"/>
    <w:rsid w:val="00AF470A"/>
    <w:rsid w:val="00AF4758"/>
    <w:rsid w:val="00AF50E9"/>
    <w:rsid w:val="00AF5CB6"/>
    <w:rsid w:val="00AF5EB2"/>
    <w:rsid w:val="00AF6164"/>
    <w:rsid w:val="00AF640A"/>
    <w:rsid w:val="00AF69F9"/>
    <w:rsid w:val="00AF6B09"/>
    <w:rsid w:val="00AF72B8"/>
    <w:rsid w:val="00AF7536"/>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4D4"/>
    <w:rsid w:val="00B14A50"/>
    <w:rsid w:val="00B15372"/>
    <w:rsid w:val="00B1567E"/>
    <w:rsid w:val="00B157F3"/>
    <w:rsid w:val="00B1594E"/>
    <w:rsid w:val="00B15CD6"/>
    <w:rsid w:val="00B15D9F"/>
    <w:rsid w:val="00B15E7D"/>
    <w:rsid w:val="00B16022"/>
    <w:rsid w:val="00B1656D"/>
    <w:rsid w:val="00B16B83"/>
    <w:rsid w:val="00B16CAC"/>
    <w:rsid w:val="00B16DB2"/>
    <w:rsid w:val="00B17084"/>
    <w:rsid w:val="00B20264"/>
    <w:rsid w:val="00B2090E"/>
    <w:rsid w:val="00B210C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3FDF"/>
    <w:rsid w:val="00B2466D"/>
    <w:rsid w:val="00B24A0C"/>
    <w:rsid w:val="00B25468"/>
    <w:rsid w:val="00B25EB3"/>
    <w:rsid w:val="00B2676C"/>
    <w:rsid w:val="00B26AE5"/>
    <w:rsid w:val="00B26E52"/>
    <w:rsid w:val="00B26F7A"/>
    <w:rsid w:val="00B271BF"/>
    <w:rsid w:val="00B2773D"/>
    <w:rsid w:val="00B27A48"/>
    <w:rsid w:val="00B27C4D"/>
    <w:rsid w:val="00B27D30"/>
    <w:rsid w:val="00B30295"/>
    <w:rsid w:val="00B30482"/>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377"/>
    <w:rsid w:val="00B42E9E"/>
    <w:rsid w:val="00B42FAA"/>
    <w:rsid w:val="00B4300C"/>
    <w:rsid w:val="00B430C8"/>
    <w:rsid w:val="00B432D6"/>
    <w:rsid w:val="00B4376B"/>
    <w:rsid w:val="00B43A75"/>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D40"/>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D1D"/>
    <w:rsid w:val="00B60EAB"/>
    <w:rsid w:val="00B61163"/>
    <w:rsid w:val="00B626C3"/>
    <w:rsid w:val="00B62756"/>
    <w:rsid w:val="00B62811"/>
    <w:rsid w:val="00B6298B"/>
    <w:rsid w:val="00B62E3D"/>
    <w:rsid w:val="00B63006"/>
    <w:rsid w:val="00B63410"/>
    <w:rsid w:val="00B640DD"/>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576"/>
    <w:rsid w:val="00B74BEE"/>
    <w:rsid w:val="00B74F19"/>
    <w:rsid w:val="00B751E0"/>
    <w:rsid w:val="00B75402"/>
    <w:rsid w:val="00B75C3D"/>
    <w:rsid w:val="00B75CD1"/>
    <w:rsid w:val="00B75E26"/>
    <w:rsid w:val="00B76109"/>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1E14"/>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442"/>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54C"/>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56E"/>
    <w:rsid w:val="00BA4805"/>
    <w:rsid w:val="00BA4895"/>
    <w:rsid w:val="00BA4A7F"/>
    <w:rsid w:val="00BA4C74"/>
    <w:rsid w:val="00BA50FB"/>
    <w:rsid w:val="00BA5F21"/>
    <w:rsid w:val="00BA6911"/>
    <w:rsid w:val="00BA70C3"/>
    <w:rsid w:val="00BA765D"/>
    <w:rsid w:val="00BA7874"/>
    <w:rsid w:val="00BB0582"/>
    <w:rsid w:val="00BB0C92"/>
    <w:rsid w:val="00BB0EA1"/>
    <w:rsid w:val="00BB148A"/>
    <w:rsid w:val="00BB153C"/>
    <w:rsid w:val="00BB1A7A"/>
    <w:rsid w:val="00BB1B02"/>
    <w:rsid w:val="00BB2914"/>
    <w:rsid w:val="00BB2D2A"/>
    <w:rsid w:val="00BB2E38"/>
    <w:rsid w:val="00BB2F60"/>
    <w:rsid w:val="00BB34A4"/>
    <w:rsid w:val="00BB44F3"/>
    <w:rsid w:val="00BB4884"/>
    <w:rsid w:val="00BB642A"/>
    <w:rsid w:val="00BB67A1"/>
    <w:rsid w:val="00BB7364"/>
    <w:rsid w:val="00BB7773"/>
    <w:rsid w:val="00BB7ADF"/>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4E6E"/>
    <w:rsid w:val="00BC5B6F"/>
    <w:rsid w:val="00BC62B2"/>
    <w:rsid w:val="00BC6656"/>
    <w:rsid w:val="00BC6763"/>
    <w:rsid w:val="00BC68A0"/>
    <w:rsid w:val="00BC6A89"/>
    <w:rsid w:val="00BC729D"/>
    <w:rsid w:val="00BC78CE"/>
    <w:rsid w:val="00BC7BFA"/>
    <w:rsid w:val="00BD034E"/>
    <w:rsid w:val="00BD0760"/>
    <w:rsid w:val="00BD1077"/>
    <w:rsid w:val="00BD1123"/>
    <w:rsid w:val="00BD1246"/>
    <w:rsid w:val="00BD1422"/>
    <w:rsid w:val="00BD19A0"/>
    <w:rsid w:val="00BD1A5F"/>
    <w:rsid w:val="00BD1A63"/>
    <w:rsid w:val="00BD2420"/>
    <w:rsid w:val="00BD258E"/>
    <w:rsid w:val="00BD2603"/>
    <w:rsid w:val="00BD27D9"/>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C8A"/>
    <w:rsid w:val="00BE0FA3"/>
    <w:rsid w:val="00BE12C0"/>
    <w:rsid w:val="00BE17CE"/>
    <w:rsid w:val="00BE19DB"/>
    <w:rsid w:val="00BE1B4B"/>
    <w:rsid w:val="00BE26BE"/>
    <w:rsid w:val="00BE3111"/>
    <w:rsid w:val="00BE3E9D"/>
    <w:rsid w:val="00BE425E"/>
    <w:rsid w:val="00BE4339"/>
    <w:rsid w:val="00BE496A"/>
    <w:rsid w:val="00BE4C25"/>
    <w:rsid w:val="00BE55BB"/>
    <w:rsid w:val="00BE58FD"/>
    <w:rsid w:val="00BE5998"/>
    <w:rsid w:val="00BE605E"/>
    <w:rsid w:val="00BE60CB"/>
    <w:rsid w:val="00BE6295"/>
    <w:rsid w:val="00BE663B"/>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C98"/>
    <w:rsid w:val="00C01E39"/>
    <w:rsid w:val="00C01E7E"/>
    <w:rsid w:val="00C02123"/>
    <w:rsid w:val="00C0315D"/>
    <w:rsid w:val="00C034DC"/>
    <w:rsid w:val="00C0381D"/>
    <w:rsid w:val="00C03B0F"/>
    <w:rsid w:val="00C03CD3"/>
    <w:rsid w:val="00C04004"/>
    <w:rsid w:val="00C046EB"/>
    <w:rsid w:val="00C048CD"/>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2FA6"/>
    <w:rsid w:val="00C23273"/>
    <w:rsid w:val="00C2408A"/>
    <w:rsid w:val="00C240D1"/>
    <w:rsid w:val="00C24156"/>
    <w:rsid w:val="00C2476E"/>
    <w:rsid w:val="00C24F72"/>
    <w:rsid w:val="00C25370"/>
    <w:rsid w:val="00C253DE"/>
    <w:rsid w:val="00C253F9"/>
    <w:rsid w:val="00C25C5A"/>
    <w:rsid w:val="00C25EEF"/>
    <w:rsid w:val="00C263D6"/>
    <w:rsid w:val="00C2655D"/>
    <w:rsid w:val="00C266FD"/>
    <w:rsid w:val="00C26783"/>
    <w:rsid w:val="00C27203"/>
    <w:rsid w:val="00C272CD"/>
    <w:rsid w:val="00C273AA"/>
    <w:rsid w:val="00C27D6A"/>
    <w:rsid w:val="00C301DA"/>
    <w:rsid w:val="00C30387"/>
    <w:rsid w:val="00C30449"/>
    <w:rsid w:val="00C30927"/>
    <w:rsid w:val="00C314B1"/>
    <w:rsid w:val="00C31544"/>
    <w:rsid w:val="00C3177B"/>
    <w:rsid w:val="00C31C4A"/>
    <w:rsid w:val="00C32C60"/>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979"/>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3F4"/>
    <w:rsid w:val="00C6368A"/>
    <w:rsid w:val="00C63D32"/>
    <w:rsid w:val="00C63FB0"/>
    <w:rsid w:val="00C64233"/>
    <w:rsid w:val="00C6455F"/>
    <w:rsid w:val="00C647C1"/>
    <w:rsid w:val="00C648DF"/>
    <w:rsid w:val="00C648F3"/>
    <w:rsid w:val="00C65035"/>
    <w:rsid w:val="00C65119"/>
    <w:rsid w:val="00C65684"/>
    <w:rsid w:val="00C656E3"/>
    <w:rsid w:val="00C65790"/>
    <w:rsid w:val="00C6587E"/>
    <w:rsid w:val="00C66097"/>
    <w:rsid w:val="00C66C28"/>
    <w:rsid w:val="00C66C41"/>
    <w:rsid w:val="00C66CC6"/>
    <w:rsid w:val="00C67D33"/>
    <w:rsid w:val="00C70065"/>
    <w:rsid w:val="00C70456"/>
    <w:rsid w:val="00C7095B"/>
    <w:rsid w:val="00C718B9"/>
    <w:rsid w:val="00C71EC7"/>
    <w:rsid w:val="00C72699"/>
    <w:rsid w:val="00C726B9"/>
    <w:rsid w:val="00C72B86"/>
    <w:rsid w:val="00C73098"/>
    <w:rsid w:val="00C7347D"/>
    <w:rsid w:val="00C73583"/>
    <w:rsid w:val="00C743B1"/>
    <w:rsid w:val="00C7502C"/>
    <w:rsid w:val="00C75EED"/>
    <w:rsid w:val="00C76B13"/>
    <w:rsid w:val="00C77011"/>
    <w:rsid w:val="00C77207"/>
    <w:rsid w:val="00C77686"/>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4B12"/>
    <w:rsid w:val="00C84FC9"/>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01B"/>
    <w:rsid w:val="00CA46B2"/>
    <w:rsid w:val="00CA52F6"/>
    <w:rsid w:val="00CA5626"/>
    <w:rsid w:val="00CA61B2"/>
    <w:rsid w:val="00CA625A"/>
    <w:rsid w:val="00CA690D"/>
    <w:rsid w:val="00CA757D"/>
    <w:rsid w:val="00CA7923"/>
    <w:rsid w:val="00CB0694"/>
    <w:rsid w:val="00CB06F0"/>
    <w:rsid w:val="00CB0932"/>
    <w:rsid w:val="00CB0E8A"/>
    <w:rsid w:val="00CB1232"/>
    <w:rsid w:val="00CB12C1"/>
    <w:rsid w:val="00CB15A7"/>
    <w:rsid w:val="00CB21F1"/>
    <w:rsid w:val="00CB3A59"/>
    <w:rsid w:val="00CB3E95"/>
    <w:rsid w:val="00CB445F"/>
    <w:rsid w:val="00CB45ED"/>
    <w:rsid w:val="00CB4989"/>
    <w:rsid w:val="00CB5650"/>
    <w:rsid w:val="00CB5A2E"/>
    <w:rsid w:val="00CB5C94"/>
    <w:rsid w:val="00CB6689"/>
    <w:rsid w:val="00CB706E"/>
    <w:rsid w:val="00CC09C8"/>
    <w:rsid w:val="00CC0A0A"/>
    <w:rsid w:val="00CC1396"/>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066"/>
    <w:rsid w:val="00CE01AB"/>
    <w:rsid w:val="00CE0813"/>
    <w:rsid w:val="00CE095F"/>
    <w:rsid w:val="00CE098C"/>
    <w:rsid w:val="00CE2468"/>
    <w:rsid w:val="00CE2479"/>
    <w:rsid w:val="00CE261D"/>
    <w:rsid w:val="00CE2657"/>
    <w:rsid w:val="00CE2891"/>
    <w:rsid w:val="00CE2893"/>
    <w:rsid w:val="00CE29CF"/>
    <w:rsid w:val="00CE304C"/>
    <w:rsid w:val="00CE30B0"/>
    <w:rsid w:val="00CE34D2"/>
    <w:rsid w:val="00CE354C"/>
    <w:rsid w:val="00CE38DF"/>
    <w:rsid w:val="00CE3B17"/>
    <w:rsid w:val="00CE3FF3"/>
    <w:rsid w:val="00CE4127"/>
    <w:rsid w:val="00CE49CB"/>
    <w:rsid w:val="00CE5AF9"/>
    <w:rsid w:val="00CE65A1"/>
    <w:rsid w:val="00CE6E91"/>
    <w:rsid w:val="00CE712D"/>
    <w:rsid w:val="00CE7616"/>
    <w:rsid w:val="00CE7DA2"/>
    <w:rsid w:val="00CE7F73"/>
    <w:rsid w:val="00CF0F00"/>
    <w:rsid w:val="00CF136D"/>
    <w:rsid w:val="00CF287F"/>
    <w:rsid w:val="00CF3E61"/>
    <w:rsid w:val="00CF4EE5"/>
    <w:rsid w:val="00CF4FE7"/>
    <w:rsid w:val="00CF569E"/>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4631"/>
    <w:rsid w:val="00D04946"/>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3C"/>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2A7E"/>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0B2"/>
    <w:rsid w:val="00D307FE"/>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1BF"/>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AF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4F7D"/>
    <w:rsid w:val="00D45190"/>
    <w:rsid w:val="00D45456"/>
    <w:rsid w:val="00D4559B"/>
    <w:rsid w:val="00D45732"/>
    <w:rsid w:val="00D45B60"/>
    <w:rsid w:val="00D4607F"/>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706"/>
    <w:rsid w:val="00D76C31"/>
    <w:rsid w:val="00D76E5C"/>
    <w:rsid w:val="00D7731E"/>
    <w:rsid w:val="00D77B2D"/>
    <w:rsid w:val="00D77E7C"/>
    <w:rsid w:val="00D80524"/>
    <w:rsid w:val="00D80AE6"/>
    <w:rsid w:val="00D80B9C"/>
    <w:rsid w:val="00D80E40"/>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8F2"/>
    <w:rsid w:val="00D929A7"/>
    <w:rsid w:val="00D92D10"/>
    <w:rsid w:val="00D92DBF"/>
    <w:rsid w:val="00D92F30"/>
    <w:rsid w:val="00D932A8"/>
    <w:rsid w:val="00D933FE"/>
    <w:rsid w:val="00D9361F"/>
    <w:rsid w:val="00D93AC3"/>
    <w:rsid w:val="00D94B9C"/>
    <w:rsid w:val="00D954ED"/>
    <w:rsid w:val="00D957AE"/>
    <w:rsid w:val="00D95A86"/>
    <w:rsid w:val="00D95C07"/>
    <w:rsid w:val="00D95F15"/>
    <w:rsid w:val="00D96C8A"/>
    <w:rsid w:val="00D97845"/>
    <w:rsid w:val="00D97B09"/>
    <w:rsid w:val="00DA068D"/>
    <w:rsid w:val="00DA0EB9"/>
    <w:rsid w:val="00DA0F79"/>
    <w:rsid w:val="00DA1780"/>
    <w:rsid w:val="00DA1D41"/>
    <w:rsid w:val="00DA1E54"/>
    <w:rsid w:val="00DA21A2"/>
    <w:rsid w:val="00DA2B7D"/>
    <w:rsid w:val="00DA32BB"/>
    <w:rsid w:val="00DA33DA"/>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CD"/>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3B4"/>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116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7B3"/>
    <w:rsid w:val="00DD6C4C"/>
    <w:rsid w:val="00DD6E72"/>
    <w:rsid w:val="00DD7927"/>
    <w:rsid w:val="00DD7C5F"/>
    <w:rsid w:val="00DE00C5"/>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0646"/>
    <w:rsid w:val="00DF1035"/>
    <w:rsid w:val="00DF1098"/>
    <w:rsid w:val="00DF173B"/>
    <w:rsid w:val="00DF21F1"/>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49DF"/>
    <w:rsid w:val="00E051EE"/>
    <w:rsid w:val="00E05573"/>
    <w:rsid w:val="00E05603"/>
    <w:rsid w:val="00E05754"/>
    <w:rsid w:val="00E05937"/>
    <w:rsid w:val="00E05CA1"/>
    <w:rsid w:val="00E062BD"/>
    <w:rsid w:val="00E06487"/>
    <w:rsid w:val="00E06EAC"/>
    <w:rsid w:val="00E06F90"/>
    <w:rsid w:val="00E06FDC"/>
    <w:rsid w:val="00E0781F"/>
    <w:rsid w:val="00E07AB4"/>
    <w:rsid w:val="00E07FB9"/>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16135"/>
    <w:rsid w:val="00E170B2"/>
    <w:rsid w:val="00E20257"/>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66D"/>
    <w:rsid w:val="00E2395A"/>
    <w:rsid w:val="00E2403F"/>
    <w:rsid w:val="00E240C5"/>
    <w:rsid w:val="00E2411D"/>
    <w:rsid w:val="00E243B8"/>
    <w:rsid w:val="00E24C92"/>
    <w:rsid w:val="00E24D33"/>
    <w:rsid w:val="00E24D46"/>
    <w:rsid w:val="00E2519A"/>
    <w:rsid w:val="00E2589A"/>
    <w:rsid w:val="00E25DEF"/>
    <w:rsid w:val="00E25EC6"/>
    <w:rsid w:val="00E266E3"/>
    <w:rsid w:val="00E26797"/>
    <w:rsid w:val="00E26C15"/>
    <w:rsid w:val="00E26E66"/>
    <w:rsid w:val="00E26E88"/>
    <w:rsid w:val="00E27104"/>
    <w:rsid w:val="00E27647"/>
    <w:rsid w:val="00E27B32"/>
    <w:rsid w:val="00E27FB6"/>
    <w:rsid w:val="00E30003"/>
    <w:rsid w:val="00E30045"/>
    <w:rsid w:val="00E30072"/>
    <w:rsid w:val="00E30672"/>
    <w:rsid w:val="00E3079B"/>
    <w:rsid w:val="00E30AB0"/>
    <w:rsid w:val="00E31445"/>
    <w:rsid w:val="00E316E0"/>
    <w:rsid w:val="00E318A8"/>
    <w:rsid w:val="00E319E2"/>
    <w:rsid w:val="00E31A60"/>
    <w:rsid w:val="00E31BCF"/>
    <w:rsid w:val="00E3212C"/>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49C"/>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07"/>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0DC"/>
    <w:rsid w:val="00E6717A"/>
    <w:rsid w:val="00E674A3"/>
    <w:rsid w:val="00E6793E"/>
    <w:rsid w:val="00E7075A"/>
    <w:rsid w:val="00E71D1B"/>
    <w:rsid w:val="00E73052"/>
    <w:rsid w:val="00E73262"/>
    <w:rsid w:val="00E7372C"/>
    <w:rsid w:val="00E737AC"/>
    <w:rsid w:val="00E73AD7"/>
    <w:rsid w:val="00E73B5B"/>
    <w:rsid w:val="00E73DAC"/>
    <w:rsid w:val="00E7403F"/>
    <w:rsid w:val="00E7438A"/>
    <w:rsid w:val="00E74A6C"/>
    <w:rsid w:val="00E74F76"/>
    <w:rsid w:val="00E752D6"/>
    <w:rsid w:val="00E75A97"/>
    <w:rsid w:val="00E75B41"/>
    <w:rsid w:val="00E75B67"/>
    <w:rsid w:val="00E75C4E"/>
    <w:rsid w:val="00E7622A"/>
    <w:rsid w:val="00E764C4"/>
    <w:rsid w:val="00E766F7"/>
    <w:rsid w:val="00E80143"/>
    <w:rsid w:val="00E803DA"/>
    <w:rsid w:val="00E80582"/>
    <w:rsid w:val="00E806A9"/>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9D6"/>
    <w:rsid w:val="00E86A32"/>
    <w:rsid w:val="00E86A42"/>
    <w:rsid w:val="00E87160"/>
    <w:rsid w:val="00E872C5"/>
    <w:rsid w:val="00E87797"/>
    <w:rsid w:val="00E87C3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A0"/>
    <w:rsid w:val="00E964CD"/>
    <w:rsid w:val="00E96575"/>
    <w:rsid w:val="00E9685A"/>
    <w:rsid w:val="00E96C9C"/>
    <w:rsid w:val="00E96E5A"/>
    <w:rsid w:val="00E96F00"/>
    <w:rsid w:val="00E9721F"/>
    <w:rsid w:val="00E97874"/>
    <w:rsid w:val="00E97C61"/>
    <w:rsid w:val="00E97E6D"/>
    <w:rsid w:val="00EA07E5"/>
    <w:rsid w:val="00EA0994"/>
    <w:rsid w:val="00EA0A9D"/>
    <w:rsid w:val="00EA10F9"/>
    <w:rsid w:val="00EA1A3C"/>
    <w:rsid w:val="00EA1F15"/>
    <w:rsid w:val="00EA2340"/>
    <w:rsid w:val="00EA2364"/>
    <w:rsid w:val="00EA240D"/>
    <w:rsid w:val="00EA2498"/>
    <w:rsid w:val="00EA24DF"/>
    <w:rsid w:val="00EA29C2"/>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162"/>
    <w:rsid w:val="00EA6502"/>
    <w:rsid w:val="00EA6768"/>
    <w:rsid w:val="00EA700F"/>
    <w:rsid w:val="00EA75BD"/>
    <w:rsid w:val="00EB0421"/>
    <w:rsid w:val="00EB084B"/>
    <w:rsid w:val="00EB09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6DF1"/>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4BB2"/>
    <w:rsid w:val="00ED50CF"/>
    <w:rsid w:val="00ED598B"/>
    <w:rsid w:val="00ED5A08"/>
    <w:rsid w:val="00ED67AF"/>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675"/>
    <w:rsid w:val="00EF3DA3"/>
    <w:rsid w:val="00EF4F0C"/>
    <w:rsid w:val="00EF51C4"/>
    <w:rsid w:val="00EF5F61"/>
    <w:rsid w:val="00EF626F"/>
    <w:rsid w:val="00EF630F"/>
    <w:rsid w:val="00EF63D7"/>
    <w:rsid w:val="00EF6EBA"/>
    <w:rsid w:val="00EF74AC"/>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B6D"/>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17CBB"/>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3F3"/>
    <w:rsid w:val="00F346B9"/>
    <w:rsid w:val="00F347EF"/>
    <w:rsid w:val="00F35FE4"/>
    <w:rsid w:val="00F36C59"/>
    <w:rsid w:val="00F376EF"/>
    <w:rsid w:val="00F3784E"/>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AF2"/>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AAA"/>
    <w:rsid w:val="00F56F0A"/>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3E9F"/>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A33"/>
    <w:rsid w:val="00F77B13"/>
    <w:rsid w:val="00F77C83"/>
    <w:rsid w:val="00F77DDA"/>
    <w:rsid w:val="00F80590"/>
    <w:rsid w:val="00F81004"/>
    <w:rsid w:val="00F812B9"/>
    <w:rsid w:val="00F81705"/>
    <w:rsid w:val="00F81753"/>
    <w:rsid w:val="00F822EC"/>
    <w:rsid w:val="00F8244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4B52"/>
    <w:rsid w:val="00F9511D"/>
    <w:rsid w:val="00F953E7"/>
    <w:rsid w:val="00F9544C"/>
    <w:rsid w:val="00F95586"/>
    <w:rsid w:val="00F9570C"/>
    <w:rsid w:val="00F9586C"/>
    <w:rsid w:val="00F95B4A"/>
    <w:rsid w:val="00F95D78"/>
    <w:rsid w:val="00F961F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5CB5"/>
    <w:rsid w:val="00FA6064"/>
    <w:rsid w:val="00FA6157"/>
    <w:rsid w:val="00FA64EB"/>
    <w:rsid w:val="00FA6689"/>
    <w:rsid w:val="00FA7243"/>
    <w:rsid w:val="00FA7273"/>
    <w:rsid w:val="00FA73CB"/>
    <w:rsid w:val="00FA74D7"/>
    <w:rsid w:val="00FA75DE"/>
    <w:rsid w:val="00FA7882"/>
    <w:rsid w:val="00FB0277"/>
    <w:rsid w:val="00FB0436"/>
    <w:rsid w:val="00FB0A91"/>
    <w:rsid w:val="00FB146D"/>
    <w:rsid w:val="00FB18EC"/>
    <w:rsid w:val="00FB2550"/>
    <w:rsid w:val="00FB270B"/>
    <w:rsid w:val="00FB2A6A"/>
    <w:rsid w:val="00FB31B2"/>
    <w:rsid w:val="00FB35FE"/>
    <w:rsid w:val="00FB4627"/>
    <w:rsid w:val="00FB4787"/>
    <w:rsid w:val="00FB47D2"/>
    <w:rsid w:val="00FB491D"/>
    <w:rsid w:val="00FB4BF1"/>
    <w:rsid w:val="00FB4EF8"/>
    <w:rsid w:val="00FB54A8"/>
    <w:rsid w:val="00FB58BD"/>
    <w:rsid w:val="00FB5B20"/>
    <w:rsid w:val="00FB5C83"/>
    <w:rsid w:val="00FB6534"/>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391"/>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AB3"/>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22E"/>
    <w:rsid w:val="00FE24F6"/>
    <w:rsid w:val="00FE251B"/>
    <w:rsid w:val="00FE2531"/>
    <w:rsid w:val="00FE2D22"/>
    <w:rsid w:val="00FE2EBD"/>
    <w:rsid w:val="00FE34D4"/>
    <w:rsid w:val="00FE3662"/>
    <w:rsid w:val="00FE3C55"/>
    <w:rsid w:val="00FE3F0F"/>
    <w:rsid w:val="00FE3FA6"/>
    <w:rsid w:val="00FE4272"/>
    <w:rsid w:val="00FE4508"/>
    <w:rsid w:val="00FE4ADF"/>
    <w:rsid w:val="00FE4C33"/>
    <w:rsid w:val="00FE525B"/>
    <w:rsid w:val="00FE5A00"/>
    <w:rsid w:val="00FE5FC7"/>
    <w:rsid w:val="00FE6062"/>
    <w:rsid w:val="00FE64F0"/>
    <w:rsid w:val="00FE67C7"/>
    <w:rsid w:val="00FE688D"/>
    <w:rsid w:val="00FE6A60"/>
    <w:rsid w:val="00FE6B38"/>
    <w:rsid w:val="00FE6E92"/>
    <w:rsid w:val="00FE72B3"/>
    <w:rsid w:val="00FE7598"/>
    <w:rsid w:val="00FE7714"/>
    <w:rsid w:val="00FE7D7E"/>
    <w:rsid w:val="00FE7F0B"/>
    <w:rsid w:val="00FF02AC"/>
    <w:rsid w:val="00FF0566"/>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962">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6290359">
      <w:bodyDiv w:val="1"/>
      <w:marLeft w:val="0"/>
      <w:marRight w:val="0"/>
      <w:marTop w:val="0"/>
      <w:marBottom w:val="0"/>
      <w:divBdr>
        <w:top w:val="none" w:sz="0" w:space="0" w:color="auto"/>
        <w:left w:val="none" w:sz="0" w:space="0" w:color="auto"/>
        <w:bottom w:val="none" w:sz="0" w:space="0" w:color="auto"/>
        <w:right w:val="none" w:sz="0" w:space="0" w:color="auto"/>
      </w:divBdr>
    </w:div>
    <w:div w:id="78068280">
      <w:bodyDiv w:val="1"/>
      <w:marLeft w:val="0"/>
      <w:marRight w:val="0"/>
      <w:marTop w:val="0"/>
      <w:marBottom w:val="0"/>
      <w:divBdr>
        <w:top w:val="none" w:sz="0" w:space="0" w:color="auto"/>
        <w:left w:val="none" w:sz="0" w:space="0" w:color="auto"/>
        <w:bottom w:val="none" w:sz="0" w:space="0" w:color="auto"/>
        <w:right w:val="none" w:sz="0" w:space="0" w:color="auto"/>
      </w:divBdr>
    </w:div>
    <w:div w:id="96756948">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393818812">
      <w:bodyDiv w:val="1"/>
      <w:marLeft w:val="0"/>
      <w:marRight w:val="0"/>
      <w:marTop w:val="0"/>
      <w:marBottom w:val="0"/>
      <w:divBdr>
        <w:top w:val="none" w:sz="0" w:space="0" w:color="auto"/>
        <w:left w:val="none" w:sz="0" w:space="0" w:color="auto"/>
        <w:bottom w:val="none" w:sz="0" w:space="0" w:color="auto"/>
        <w:right w:val="none" w:sz="0" w:space="0" w:color="auto"/>
      </w:divBdr>
    </w:div>
    <w:div w:id="41066169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4613765">
      <w:bodyDiv w:val="1"/>
      <w:marLeft w:val="0"/>
      <w:marRight w:val="0"/>
      <w:marTop w:val="0"/>
      <w:marBottom w:val="0"/>
      <w:divBdr>
        <w:top w:val="none" w:sz="0" w:space="0" w:color="auto"/>
        <w:left w:val="none" w:sz="0" w:space="0" w:color="auto"/>
        <w:bottom w:val="none" w:sz="0" w:space="0" w:color="auto"/>
        <w:right w:val="none" w:sz="0" w:space="0" w:color="auto"/>
      </w:divBdr>
    </w:div>
    <w:div w:id="495342429">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597953401">
      <w:bodyDiv w:val="1"/>
      <w:marLeft w:val="0"/>
      <w:marRight w:val="0"/>
      <w:marTop w:val="0"/>
      <w:marBottom w:val="0"/>
      <w:divBdr>
        <w:top w:val="none" w:sz="0" w:space="0" w:color="auto"/>
        <w:left w:val="none" w:sz="0" w:space="0" w:color="auto"/>
        <w:bottom w:val="none" w:sz="0" w:space="0" w:color="auto"/>
        <w:right w:val="none" w:sz="0" w:space="0" w:color="auto"/>
      </w:divBdr>
    </w:div>
    <w:div w:id="60531218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1129680">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6228043">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6835221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332338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9608145">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93497500">
      <w:bodyDiv w:val="1"/>
      <w:marLeft w:val="0"/>
      <w:marRight w:val="0"/>
      <w:marTop w:val="0"/>
      <w:marBottom w:val="0"/>
      <w:divBdr>
        <w:top w:val="none" w:sz="0" w:space="0" w:color="auto"/>
        <w:left w:val="none" w:sz="0" w:space="0" w:color="auto"/>
        <w:bottom w:val="none" w:sz="0" w:space="0" w:color="auto"/>
        <w:right w:val="none" w:sz="0" w:space="0" w:color="auto"/>
      </w:divBdr>
    </w:div>
    <w:div w:id="1199666575">
      <w:bodyDiv w:val="1"/>
      <w:marLeft w:val="0"/>
      <w:marRight w:val="0"/>
      <w:marTop w:val="0"/>
      <w:marBottom w:val="0"/>
      <w:divBdr>
        <w:top w:val="none" w:sz="0" w:space="0" w:color="auto"/>
        <w:left w:val="none" w:sz="0" w:space="0" w:color="auto"/>
        <w:bottom w:val="none" w:sz="0" w:space="0" w:color="auto"/>
        <w:right w:val="none" w:sz="0" w:space="0" w:color="auto"/>
      </w:divBdr>
    </w:div>
    <w:div w:id="121145704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27024950">
      <w:bodyDiv w:val="1"/>
      <w:marLeft w:val="0"/>
      <w:marRight w:val="0"/>
      <w:marTop w:val="0"/>
      <w:marBottom w:val="0"/>
      <w:divBdr>
        <w:top w:val="none" w:sz="0" w:space="0" w:color="auto"/>
        <w:left w:val="none" w:sz="0" w:space="0" w:color="auto"/>
        <w:bottom w:val="none" w:sz="0" w:space="0" w:color="auto"/>
        <w:right w:val="none" w:sz="0" w:space="0" w:color="auto"/>
      </w:divBdr>
    </w:div>
    <w:div w:id="1790276413">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57636518">
      <w:bodyDiv w:val="1"/>
      <w:marLeft w:val="0"/>
      <w:marRight w:val="0"/>
      <w:marTop w:val="0"/>
      <w:marBottom w:val="0"/>
      <w:divBdr>
        <w:top w:val="none" w:sz="0" w:space="0" w:color="auto"/>
        <w:left w:val="none" w:sz="0" w:space="0" w:color="auto"/>
        <w:bottom w:val="none" w:sz="0" w:space="0" w:color="auto"/>
        <w:right w:val="none" w:sz="0" w:space="0" w:color="auto"/>
      </w:divBdr>
    </w:div>
    <w:div w:id="1968075446">
      <w:bodyDiv w:val="1"/>
      <w:marLeft w:val="0"/>
      <w:marRight w:val="0"/>
      <w:marTop w:val="0"/>
      <w:marBottom w:val="0"/>
      <w:divBdr>
        <w:top w:val="none" w:sz="0" w:space="0" w:color="auto"/>
        <w:left w:val="none" w:sz="0" w:space="0" w:color="auto"/>
        <w:bottom w:val="none" w:sz="0" w:space="0" w:color="auto"/>
        <w:right w:val="none" w:sz="0" w:space="0" w:color="auto"/>
      </w:divBdr>
    </w:div>
    <w:div w:id="1979452237">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09165401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69E1B-B82D-4430-9EDC-FD81FB4E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4412</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cp:revision>
  <cp:lastPrinted>2013-04-04T11:22:00Z</cp:lastPrinted>
  <dcterms:created xsi:type="dcterms:W3CDTF">2022-02-11T09:09:00Z</dcterms:created>
  <dcterms:modified xsi:type="dcterms:W3CDTF">2022-02-14T02:23:00Z</dcterms:modified>
</cp:coreProperties>
</file>